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65" w:type="dxa"/>
        <w:tblInd w:w="-704" w:type="dxa"/>
        <w:tblBorders>
          <w:top w:val="single" w:sz="18" w:space="0" w:color="428076" w:themeColor="accent1" w:themeShade="BF"/>
          <w:left w:val="single" w:sz="18" w:space="0" w:color="428076" w:themeColor="accent1" w:themeShade="BF"/>
          <w:bottom w:val="single" w:sz="18" w:space="0" w:color="428076" w:themeColor="accent1" w:themeShade="BF"/>
          <w:right w:val="single" w:sz="18" w:space="0" w:color="428076" w:themeColor="accent1" w:themeShade="BF"/>
        </w:tblBorders>
        <w:tblCellMar>
          <w:left w:w="70" w:type="dxa"/>
          <w:right w:w="70" w:type="dxa"/>
        </w:tblCellMar>
        <w:tblLook w:val="04A0" w:firstRow="1" w:lastRow="0" w:firstColumn="1" w:lastColumn="0" w:noHBand="0" w:noVBand="1"/>
      </w:tblPr>
      <w:tblGrid>
        <w:gridCol w:w="1325"/>
        <w:gridCol w:w="336"/>
        <w:gridCol w:w="1738"/>
        <w:gridCol w:w="6966"/>
      </w:tblGrid>
      <w:tr w:rsidR="009A7DF8" w:rsidRPr="00B56106" w14:paraId="57B9BC7C" w14:textId="77777777" w:rsidTr="004342A5">
        <w:trPr>
          <w:trHeight w:val="679"/>
        </w:trPr>
        <w:tc>
          <w:tcPr>
            <w:tcW w:w="1611" w:type="dxa"/>
            <w:gridSpan w:val="2"/>
            <w:vMerge w:val="restart"/>
            <w:tcBorders>
              <w:top w:val="single" w:sz="12" w:space="0" w:color="5BAA9D" w:themeColor="accent1"/>
              <w:left w:val="single" w:sz="12" w:space="0" w:color="5BAA9D" w:themeColor="accent1"/>
              <w:bottom w:val="nil"/>
            </w:tcBorders>
            <w:shd w:val="clear" w:color="auto" w:fill="5BAA9D" w:themeFill="accent1"/>
            <w:noWrap/>
            <w:tcMar>
              <w:left w:w="0" w:type="dxa"/>
              <w:right w:w="0" w:type="dxa"/>
            </w:tcMar>
            <w:vAlign w:val="center"/>
            <w:hideMark/>
          </w:tcPr>
          <w:p w14:paraId="61C753FB" w14:textId="0D8C980E" w:rsidR="008F6274" w:rsidRPr="00272385" w:rsidRDefault="009A7DF8" w:rsidP="002813BE">
            <w:pPr>
              <w:pStyle w:val="NormalWeb"/>
              <w:jc w:val="center"/>
              <w:rPr>
                <w:lang w:val="en-GB"/>
              </w:rPr>
            </w:pPr>
            <w:r w:rsidRPr="00272385">
              <w:rPr>
                <w:noProof/>
                <w:lang w:val="en-GB"/>
              </w:rPr>
              <w:drawing>
                <wp:inline distT="0" distB="0" distL="0" distR="0" wp14:anchorId="4777DAC5" wp14:editId="05173A61">
                  <wp:extent cx="443059" cy="479902"/>
                  <wp:effectExtent l="0" t="0" r="0" b="0"/>
                  <wp:docPr id="29331999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293" cy="497486"/>
                          </a:xfrm>
                          <a:prstGeom prst="rect">
                            <a:avLst/>
                          </a:prstGeom>
                          <a:noFill/>
                          <a:ln>
                            <a:noFill/>
                          </a:ln>
                        </pic:spPr>
                      </pic:pic>
                    </a:graphicData>
                  </a:graphic>
                </wp:inline>
              </w:drawing>
            </w:r>
          </w:p>
        </w:tc>
        <w:tc>
          <w:tcPr>
            <w:tcW w:w="8754" w:type="dxa"/>
            <w:gridSpan w:val="2"/>
            <w:tcBorders>
              <w:top w:val="single" w:sz="12" w:space="0" w:color="5BAA9D" w:themeColor="accent1"/>
              <w:bottom w:val="nil"/>
              <w:right w:val="single" w:sz="12" w:space="0" w:color="5BAA9D" w:themeColor="accent1"/>
            </w:tcBorders>
            <w:shd w:val="clear" w:color="auto" w:fill="5BAA9D" w:themeFill="accent1"/>
            <w:vAlign w:val="center"/>
          </w:tcPr>
          <w:p w14:paraId="36EDB15B" w14:textId="6F60553E" w:rsidR="008F6274" w:rsidRPr="00272385" w:rsidRDefault="005066C0" w:rsidP="004342A5">
            <w:pPr>
              <w:spacing w:after="0" w:line="240" w:lineRule="auto"/>
              <w:rPr>
                <w:rFonts w:eastAsia="Times New Roman"/>
                <w:b/>
                <w:bCs/>
                <w:color w:val="FFFFFF" w:themeColor="background1"/>
                <w:sz w:val="36"/>
                <w:szCs w:val="36"/>
                <w:lang w:val="en-GB" w:eastAsia="fr-BE"/>
              </w:rPr>
            </w:pPr>
            <w:r w:rsidRPr="00272385">
              <w:rPr>
                <w:rFonts w:eastAsia="Times New Roman"/>
                <w:b/>
                <w:bCs/>
                <w:color w:val="FFFFFF" w:themeColor="background1"/>
                <w:sz w:val="36"/>
                <w:szCs w:val="36"/>
                <w:lang w:val="en-GB" w:eastAsia="fr-BE"/>
              </w:rPr>
              <w:t xml:space="preserve">National systems for reporting on policies and measures and </w:t>
            </w:r>
            <w:r w:rsidR="00233061" w:rsidRPr="00272385">
              <w:rPr>
                <w:rFonts w:eastAsia="Times New Roman"/>
                <w:b/>
                <w:bCs/>
                <w:color w:val="FFFFFF" w:themeColor="background1"/>
                <w:sz w:val="36"/>
                <w:szCs w:val="36"/>
                <w:lang w:val="en-GB" w:eastAsia="fr-BE"/>
              </w:rPr>
              <w:t xml:space="preserve">greenhouse gas </w:t>
            </w:r>
            <w:r w:rsidRPr="00272385">
              <w:rPr>
                <w:rFonts w:eastAsia="Times New Roman"/>
                <w:b/>
                <w:bCs/>
                <w:color w:val="FFFFFF" w:themeColor="background1"/>
                <w:sz w:val="36"/>
                <w:szCs w:val="36"/>
                <w:lang w:val="en-GB" w:eastAsia="fr-BE"/>
              </w:rPr>
              <w:t>projections</w:t>
            </w:r>
          </w:p>
        </w:tc>
      </w:tr>
      <w:tr w:rsidR="009A7DF8" w:rsidRPr="00272385" w14:paraId="1C87166C" w14:textId="77777777" w:rsidTr="004342A5">
        <w:trPr>
          <w:trHeight w:val="371"/>
        </w:trPr>
        <w:tc>
          <w:tcPr>
            <w:tcW w:w="1611" w:type="dxa"/>
            <w:gridSpan w:val="2"/>
            <w:vMerge/>
            <w:tcBorders>
              <w:top w:val="nil"/>
              <w:left w:val="single" w:sz="12" w:space="0" w:color="5BAA9D" w:themeColor="accent1"/>
              <w:bottom w:val="nil"/>
            </w:tcBorders>
            <w:noWrap/>
            <w:tcMar>
              <w:left w:w="0" w:type="dxa"/>
              <w:right w:w="0" w:type="dxa"/>
            </w:tcMar>
            <w:vAlign w:val="center"/>
          </w:tcPr>
          <w:p w14:paraId="0B80C561" w14:textId="77777777" w:rsidR="008F6274" w:rsidRPr="00272385" w:rsidRDefault="008F6274">
            <w:pPr>
              <w:spacing w:after="0" w:line="240" w:lineRule="auto"/>
              <w:jc w:val="center"/>
              <w:rPr>
                <w:noProof/>
                <w:lang w:val="en-GB" w:eastAsia="fr-BE"/>
              </w:rPr>
            </w:pPr>
          </w:p>
        </w:tc>
        <w:tc>
          <w:tcPr>
            <w:tcW w:w="1772" w:type="dxa"/>
            <w:tcBorders>
              <w:top w:val="nil"/>
              <w:bottom w:val="nil"/>
            </w:tcBorders>
            <w:shd w:val="clear" w:color="auto" w:fill="5BAA9D" w:themeFill="accent1"/>
            <w:vAlign w:val="center"/>
          </w:tcPr>
          <w:p w14:paraId="6620D607" w14:textId="77777777" w:rsidR="008F6274" w:rsidRPr="00272385" w:rsidRDefault="008F6274" w:rsidP="004342A5">
            <w:pPr>
              <w:spacing w:after="0" w:line="240" w:lineRule="auto"/>
              <w:rPr>
                <w:rFonts w:eastAsia="Times New Roman" w:cstheme="minorHAnsi"/>
                <w:b/>
                <w:bCs/>
                <w:color w:val="FFFFFF" w:themeColor="background1"/>
                <w:sz w:val="24"/>
                <w:lang w:val="en-GB" w:eastAsia="fr-BE"/>
              </w:rPr>
            </w:pPr>
            <w:r w:rsidRPr="00272385">
              <w:rPr>
                <w:rFonts w:eastAsia="Times New Roman" w:cstheme="minorHAnsi"/>
                <w:b/>
                <w:bCs/>
                <w:color w:val="FFFFFF" w:themeColor="background1"/>
                <w:sz w:val="24"/>
                <w:lang w:val="en-GB" w:eastAsia="fr-BE"/>
              </w:rPr>
              <w:t>Concept Name</w:t>
            </w:r>
          </w:p>
        </w:tc>
        <w:tc>
          <w:tcPr>
            <w:tcW w:w="6982" w:type="dxa"/>
            <w:tcBorders>
              <w:top w:val="nil"/>
              <w:bottom w:val="nil"/>
              <w:right w:val="single" w:sz="12" w:space="0" w:color="5BAA9D" w:themeColor="accent1"/>
            </w:tcBorders>
            <w:shd w:val="clear" w:color="auto" w:fill="5BAA9D" w:themeFill="accent1"/>
            <w:vAlign w:val="center"/>
          </w:tcPr>
          <w:p w14:paraId="14BFC8CD" w14:textId="77777777" w:rsidR="008F6274" w:rsidRPr="00272385" w:rsidRDefault="008F6274" w:rsidP="004342A5">
            <w:pPr>
              <w:spacing w:after="0" w:line="240" w:lineRule="auto"/>
              <w:rPr>
                <w:rFonts w:eastAsia="Times New Roman" w:cstheme="minorHAnsi"/>
                <w:b/>
                <w:bCs/>
                <w:color w:val="FFFFFF" w:themeColor="background1"/>
                <w:sz w:val="24"/>
                <w:lang w:val="en-GB" w:eastAsia="fr-BE"/>
              </w:rPr>
            </w:pPr>
            <w:r w:rsidRPr="00272385">
              <w:rPr>
                <w:rFonts w:eastAsia="Times New Roman" w:cstheme="minorHAnsi"/>
                <w:b/>
                <w:bCs/>
                <w:color w:val="FFFFFF" w:themeColor="background1"/>
                <w:sz w:val="24"/>
                <w:lang w:val="en-GB" w:eastAsia="fr-BE"/>
              </w:rPr>
              <w:t>Description</w:t>
            </w:r>
          </w:p>
        </w:tc>
      </w:tr>
      <w:tr w:rsidR="009A7DF8" w:rsidRPr="00272385" w14:paraId="2E85CE0A" w14:textId="77777777" w:rsidTr="00FA4BCD">
        <w:trPr>
          <w:trHeight w:val="300"/>
        </w:trPr>
        <w:tc>
          <w:tcPr>
            <w:tcW w:w="1273" w:type="dxa"/>
            <w:tcBorders>
              <w:top w:val="nil"/>
              <w:left w:val="single" w:sz="12" w:space="0" w:color="5BAA9D" w:themeColor="accent1"/>
            </w:tcBorders>
            <w:shd w:val="clear" w:color="auto" w:fill="3C8EB2" w:themeFill="accent2"/>
            <w:vAlign w:val="center"/>
            <w:hideMark/>
          </w:tcPr>
          <w:p w14:paraId="0573FEAF" w14:textId="77777777" w:rsidR="00C5188D" w:rsidRPr="00272385" w:rsidRDefault="00C5188D" w:rsidP="003003CA">
            <w:pPr>
              <w:spacing w:beforeLines="20" w:before="48" w:afterLines="20" w:after="48" w:line="240" w:lineRule="auto"/>
              <w:jc w:val="center"/>
              <w:rPr>
                <w:rFonts w:eastAsia="Times New Roman" w:cstheme="minorHAnsi"/>
                <w:b/>
                <w:bCs/>
                <w:color w:val="FFFFFF" w:themeColor="background1"/>
                <w:szCs w:val="20"/>
                <w:lang w:val="en-GB" w:eastAsia="fr-BE"/>
              </w:rPr>
            </w:pPr>
            <w:r w:rsidRPr="00272385">
              <w:rPr>
                <w:rFonts w:eastAsia="Times New Roman" w:cstheme="minorHAnsi"/>
                <w:b/>
                <w:bCs/>
                <w:color w:val="FFFFFF" w:themeColor="background1"/>
                <w:szCs w:val="20"/>
                <w:lang w:val="en-GB" w:eastAsia="fr-BE"/>
              </w:rPr>
              <w:t>A</w:t>
            </w:r>
          </w:p>
        </w:tc>
        <w:tc>
          <w:tcPr>
            <w:tcW w:w="9092" w:type="dxa"/>
            <w:gridSpan w:val="3"/>
            <w:tcBorders>
              <w:top w:val="nil"/>
              <w:bottom w:val="nil"/>
              <w:right w:val="single" w:sz="12" w:space="0" w:color="5BAA9D" w:themeColor="accent1"/>
            </w:tcBorders>
            <w:shd w:val="clear" w:color="auto" w:fill="3C8EB2" w:themeFill="accent2"/>
            <w:vAlign w:val="center"/>
            <w:hideMark/>
          </w:tcPr>
          <w:p w14:paraId="4DFE440F" w14:textId="77777777" w:rsidR="00C5188D" w:rsidRPr="00272385" w:rsidRDefault="00C5188D" w:rsidP="00C5188D">
            <w:pPr>
              <w:spacing w:beforeLines="20" w:before="48" w:afterLines="20" w:after="48" w:line="240" w:lineRule="auto"/>
              <w:rPr>
                <w:rFonts w:eastAsia="Times New Roman" w:cstheme="minorHAnsi"/>
                <w:color w:val="FFFFFF" w:themeColor="background1"/>
                <w:sz w:val="16"/>
                <w:szCs w:val="16"/>
                <w:lang w:val="en-GB" w:eastAsia="fr-BE"/>
              </w:rPr>
            </w:pPr>
            <w:r w:rsidRPr="00272385">
              <w:rPr>
                <w:rFonts w:eastAsia="Times New Roman" w:cstheme="minorHAnsi"/>
                <w:b/>
                <w:bCs/>
                <w:color w:val="FFFFFF" w:themeColor="background1"/>
                <w:lang w:val="en-GB" w:eastAsia="fr-BE"/>
              </w:rPr>
              <w:t>Data description (metadata)</w:t>
            </w:r>
          </w:p>
        </w:tc>
      </w:tr>
      <w:tr w:rsidR="00BD64EF" w:rsidRPr="00B56106" w14:paraId="71B217CD" w14:textId="77777777" w:rsidTr="3779A2E1">
        <w:trPr>
          <w:trHeight w:val="675"/>
        </w:trPr>
        <w:tc>
          <w:tcPr>
            <w:tcW w:w="1273" w:type="dxa"/>
            <w:tcBorders>
              <w:left w:val="single" w:sz="12" w:space="0" w:color="5BAA9D" w:themeColor="accent1"/>
            </w:tcBorders>
            <w:vAlign w:val="center"/>
            <w:hideMark/>
          </w:tcPr>
          <w:p w14:paraId="5E3E2043"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nil"/>
              <w:bottom w:val="dotted" w:sz="4" w:space="0" w:color="428076" w:themeColor="accent1" w:themeShade="BF"/>
            </w:tcBorders>
            <w:vAlign w:val="center"/>
            <w:hideMark/>
          </w:tcPr>
          <w:p w14:paraId="5918DFC4" w14:textId="3DED62C8" w:rsidR="00BD64EF" w:rsidRPr="00272385" w:rsidRDefault="438F2DBB" w:rsidP="054FFAA4">
            <w:pPr>
              <w:spacing w:beforeLines="20" w:before="48" w:afterLines="20" w:after="48" w:line="240" w:lineRule="auto"/>
              <w:rPr>
                <w:rFonts w:ascii="Calibri" w:eastAsia="Calibri" w:hAnsi="Calibri" w:cs="Calibri"/>
                <w:color w:val="D13438"/>
                <w:sz w:val="18"/>
                <w:szCs w:val="18"/>
                <w:lang w:val="en-GB"/>
              </w:rPr>
            </w:pPr>
            <w:r w:rsidRPr="00272385">
              <w:rPr>
                <w:rFonts w:ascii="Calibri" w:eastAsia="Calibri" w:hAnsi="Calibri" w:cs="Calibri"/>
                <w:color w:val="000000" w:themeColor="text1"/>
                <w:sz w:val="18"/>
                <w:szCs w:val="18"/>
                <w:lang w:val="en-GB"/>
              </w:rPr>
              <w:t>Data description</w:t>
            </w:r>
          </w:p>
          <w:p w14:paraId="106880E3" w14:textId="7CE866A9" w:rsidR="00BD64EF" w:rsidRPr="00272385" w:rsidRDefault="438F2DBB" w:rsidP="054FFAA4">
            <w:pPr>
              <w:spacing w:beforeLines="20" w:before="48" w:afterLines="20" w:after="48" w:line="240" w:lineRule="auto"/>
              <w:rPr>
                <w:rFonts w:ascii="Calibri" w:eastAsia="Calibri" w:hAnsi="Calibri" w:cs="Calibri"/>
                <w:color w:val="000000" w:themeColor="text1"/>
                <w:sz w:val="14"/>
                <w:szCs w:val="14"/>
                <w:lang w:val="en-GB"/>
              </w:rPr>
            </w:pPr>
            <w:r w:rsidRPr="00272385">
              <w:rPr>
                <w:rFonts w:ascii="Calibri" w:eastAsia="Calibri" w:hAnsi="Calibri" w:cs="Calibri"/>
                <w:i/>
                <w:iCs/>
                <w:color w:val="000000" w:themeColor="text1"/>
                <w:sz w:val="14"/>
                <w:szCs w:val="14"/>
                <w:lang w:val="en-GB"/>
              </w:rPr>
              <w:t>Background, main characteristics of dataset</w:t>
            </w:r>
          </w:p>
        </w:tc>
        <w:tc>
          <w:tcPr>
            <w:tcW w:w="6982" w:type="dxa"/>
            <w:tcBorders>
              <w:top w:val="nil"/>
              <w:bottom w:val="dotted" w:sz="4" w:space="0" w:color="428076" w:themeColor="accent1" w:themeShade="BF"/>
              <w:right w:val="single" w:sz="12" w:space="0" w:color="5BAA9D" w:themeColor="accent1"/>
            </w:tcBorders>
            <w:vAlign w:val="center"/>
            <w:hideMark/>
          </w:tcPr>
          <w:p w14:paraId="04C5F189" w14:textId="438C406F" w:rsidR="007C3600" w:rsidRPr="00272385" w:rsidRDefault="004A0591" w:rsidP="00BD64EF">
            <w:pPr>
              <w:spacing w:beforeLines="20" w:before="48" w:afterLines="20" w:after="48" w:line="240" w:lineRule="auto"/>
              <w:rPr>
                <w:rFonts w:eastAsia="Times New Roman" w:cstheme="minorHAnsi"/>
                <w:sz w:val="16"/>
                <w:szCs w:val="16"/>
                <w:lang w:val="en-GB" w:eastAsia="fr-BE"/>
              </w:rPr>
            </w:pPr>
            <w:r w:rsidRPr="00272385">
              <w:rPr>
                <w:rFonts w:eastAsia="Times New Roman" w:cstheme="minorHAnsi"/>
                <w:sz w:val="16"/>
                <w:szCs w:val="16"/>
                <w:lang w:val="en-GB" w:eastAsia="fr-BE"/>
              </w:rPr>
              <w:t>National systems include</w:t>
            </w:r>
            <w:r w:rsidR="00F90A03" w:rsidRPr="00272385">
              <w:rPr>
                <w:rFonts w:eastAsia="Times New Roman" w:cstheme="minorHAnsi"/>
                <w:sz w:val="16"/>
                <w:szCs w:val="16"/>
                <w:lang w:val="en-GB" w:eastAsia="fr-BE"/>
              </w:rPr>
              <w:t xml:space="preserve"> all relevant institutional, legal and procedural arrangements established within a country for </w:t>
            </w:r>
            <w:r w:rsidR="00F543B8" w:rsidRPr="00272385">
              <w:rPr>
                <w:rFonts w:eastAsia="Times New Roman" w:cstheme="minorHAnsi"/>
                <w:sz w:val="16"/>
                <w:szCs w:val="16"/>
                <w:lang w:val="en-GB" w:eastAsia="fr-BE"/>
              </w:rPr>
              <w:t xml:space="preserve">reporting on greenhouse gas </w:t>
            </w:r>
            <w:r w:rsidR="003844FC" w:rsidRPr="00272385">
              <w:rPr>
                <w:rFonts w:eastAsia="Times New Roman" w:cstheme="minorHAnsi"/>
                <w:sz w:val="16"/>
                <w:szCs w:val="16"/>
                <w:lang w:val="en-GB" w:eastAsia="fr-BE"/>
              </w:rPr>
              <w:t xml:space="preserve">(GHG) </w:t>
            </w:r>
            <w:r w:rsidR="00F543B8" w:rsidRPr="00272385">
              <w:rPr>
                <w:rFonts w:eastAsia="Times New Roman" w:cstheme="minorHAnsi"/>
                <w:sz w:val="16"/>
                <w:szCs w:val="16"/>
                <w:lang w:val="en-GB" w:eastAsia="fr-BE"/>
              </w:rPr>
              <w:t xml:space="preserve">emission policies and measures, for </w:t>
            </w:r>
            <w:r w:rsidR="00F90A03" w:rsidRPr="00272385">
              <w:rPr>
                <w:rFonts w:eastAsia="Times New Roman" w:cstheme="minorHAnsi"/>
                <w:sz w:val="16"/>
                <w:szCs w:val="16"/>
                <w:lang w:val="en-GB" w:eastAsia="fr-BE"/>
              </w:rPr>
              <w:t>evaluating policy</w:t>
            </w:r>
            <w:r w:rsidR="00F543B8" w:rsidRPr="00272385">
              <w:rPr>
                <w:rFonts w:eastAsia="Times New Roman" w:cstheme="minorHAnsi"/>
                <w:sz w:val="16"/>
                <w:szCs w:val="16"/>
                <w:lang w:val="en-GB" w:eastAsia="fr-BE"/>
              </w:rPr>
              <w:t>,</w:t>
            </w:r>
            <w:r w:rsidR="00F90A03" w:rsidRPr="00272385">
              <w:rPr>
                <w:rFonts w:eastAsia="Times New Roman" w:cstheme="minorHAnsi"/>
                <w:sz w:val="16"/>
                <w:szCs w:val="16"/>
                <w:lang w:val="en-GB" w:eastAsia="fr-BE"/>
              </w:rPr>
              <w:t xml:space="preserve"> and </w:t>
            </w:r>
            <w:r w:rsidR="00F543B8" w:rsidRPr="00272385">
              <w:rPr>
                <w:rFonts w:eastAsia="Times New Roman" w:cstheme="minorHAnsi"/>
                <w:sz w:val="16"/>
                <w:szCs w:val="16"/>
                <w:lang w:val="en-GB" w:eastAsia="fr-BE"/>
              </w:rPr>
              <w:t xml:space="preserve">for </w:t>
            </w:r>
            <w:r w:rsidR="00F90A03" w:rsidRPr="00272385">
              <w:rPr>
                <w:rFonts w:eastAsia="Times New Roman" w:cstheme="minorHAnsi"/>
                <w:sz w:val="16"/>
                <w:szCs w:val="16"/>
                <w:lang w:val="en-GB" w:eastAsia="fr-BE"/>
              </w:rPr>
              <w:t>making projections of anthropogenic greenhouse gas emissions by sources and removals by sinks.</w:t>
            </w:r>
            <w:r w:rsidR="003C1525" w:rsidRPr="00272385">
              <w:rPr>
                <w:rFonts w:eastAsia="Times New Roman" w:cstheme="minorHAnsi"/>
                <w:sz w:val="16"/>
                <w:szCs w:val="16"/>
                <w:lang w:val="en-GB" w:eastAsia="fr-BE"/>
              </w:rPr>
              <w:t xml:space="preserve"> Countries have to operate a national system, while also seeking to continuously improve </w:t>
            </w:r>
            <w:r w:rsidR="003844FC" w:rsidRPr="00272385">
              <w:rPr>
                <w:rFonts w:eastAsia="Times New Roman" w:cstheme="minorHAnsi"/>
                <w:sz w:val="16"/>
                <w:szCs w:val="16"/>
                <w:lang w:val="en-GB" w:eastAsia="fr-BE"/>
              </w:rPr>
              <w:t>it</w:t>
            </w:r>
            <w:r w:rsidR="009570BB" w:rsidRPr="00272385">
              <w:rPr>
                <w:rFonts w:eastAsia="Times New Roman" w:cstheme="minorHAnsi"/>
                <w:sz w:val="16"/>
                <w:szCs w:val="16"/>
                <w:lang w:val="en-GB" w:eastAsia="fr-BE"/>
              </w:rPr>
              <w:t xml:space="preserve">. </w:t>
            </w:r>
            <w:r w:rsidR="0089660A" w:rsidRPr="00272385">
              <w:rPr>
                <w:rFonts w:eastAsia="Times New Roman" w:cstheme="minorHAnsi"/>
                <w:sz w:val="16"/>
                <w:szCs w:val="16"/>
                <w:lang w:val="en-GB" w:eastAsia="fr-BE"/>
              </w:rPr>
              <w:t xml:space="preserve">Within the EU climate governance framework, national systems serve as the backbone </w:t>
            </w:r>
            <w:r w:rsidR="003844FC" w:rsidRPr="00272385">
              <w:rPr>
                <w:rFonts w:eastAsia="Times New Roman" w:cstheme="minorHAnsi"/>
                <w:sz w:val="16"/>
                <w:szCs w:val="16"/>
                <w:lang w:val="en-GB" w:eastAsia="fr-BE"/>
              </w:rPr>
              <w:t xml:space="preserve">of </w:t>
            </w:r>
            <w:r w:rsidR="0089660A" w:rsidRPr="00272385">
              <w:rPr>
                <w:rFonts w:eastAsia="Times New Roman" w:cstheme="minorHAnsi"/>
                <w:sz w:val="16"/>
                <w:szCs w:val="16"/>
                <w:lang w:val="en-GB" w:eastAsia="fr-BE"/>
              </w:rPr>
              <w:t xml:space="preserve">planning, monitoring, and reporting processes. </w:t>
            </w:r>
            <w:r w:rsidR="009570BB" w:rsidRPr="00272385">
              <w:rPr>
                <w:rFonts w:eastAsia="Times New Roman" w:cstheme="minorHAnsi"/>
                <w:sz w:val="16"/>
                <w:szCs w:val="16"/>
                <w:lang w:val="en-GB" w:eastAsia="fr-BE"/>
              </w:rPr>
              <w:t>A complete and transparent national system is essential to deliver good-quality information on GHG projections to integrate policy effects and understand GHG emission trends. It seeks to ensure the timeliness, transparency, accuracy, consistency, comparability and completeness of the information on policies and measures and projections.</w:t>
            </w:r>
          </w:p>
          <w:p w14:paraId="0856FA4C" w14:textId="489FB1FE" w:rsidR="00DC3248" w:rsidRPr="00272385" w:rsidRDefault="00737BB4" w:rsidP="005849A0">
            <w:pPr>
              <w:spacing w:after="0" w:line="240" w:lineRule="auto"/>
              <w:rPr>
                <w:rFonts w:eastAsia="Times New Roman" w:cstheme="minorHAnsi"/>
                <w:sz w:val="16"/>
                <w:szCs w:val="16"/>
                <w:lang w:val="en-GB" w:eastAsia="fr-BE"/>
              </w:rPr>
            </w:pPr>
            <w:r w:rsidRPr="00272385">
              <w:rPr>
                <w:rFonts w:eastAsia="Times New Roman" w:cstheme="minorHAnsi"/>
                <w:sz w:val="16"/>
                <w:szCs w:val="16"/>
                <w:lang w:val="en-GB" w:eastAsia="fr-BE"/>
              </w:rPr>
              <w:t>The obligation to</w:t>
            </w:r>
            <w:r w:rsidR="00847E8F" w:rsidRPr="00272385">
              <w:rPr>
                <w:rFonts w:eastAsia="Times New Roman" w:cstheme="minorHAnsi"/>
                <w:sz w:val="16"/>
                <w:szCs w:val="16"/>
                <w:lang w:val="en-GB" w:eastAsia="fr-BE"/>
              </w:rPr>
              <w:t xml:space="preserve"> </w:t>
            </w:r>
            <w:r w:rsidR="00BB125F" w:rsidRPr="00272385">
              <w:rPr>
                <w:rFonts w:eastAsia="Times New Roman" w:cstheme="minorHAnsi"/>
                <w:sz w:val="16"/>
                <w:szCs w:val="16"/>
                <w:lang w:val="en-GB" w:eastAsia="fr-BE"/>
              </w:rPr>
              <w:t xml:space="preserve">establish, operate and continuously improve national </w:t>
            </w:r>
            <w:r w:rsidR="00A86D46" w:rsidRPr="00272385">
              <w:rPr>
                <w:rFonts w:eastAsia="Times New Roman" w:cstheme="minorHAnsi"/>
                <w:sz w:val="16"/>
                <w:szCs w:val="16"/>
                <w:lang w:val="en-GB" w:eastAsia="fr-BE"/>
              </w:rPr>
              <w:t>systems</w:t>
            </w:r>
            <w:r w:rsidRPr="00272385">
              <w:rPr>
                <w:rFonts w:eastAsia="Times New Roman" w:cstheme="minorHAnsi"/>
                <w:sz w:val="16"/>
                <w:szCs w:val="16"/>
                <w:lang w:val="en-GB" w:eastAsia="fr-BE"/>
              </w:rPr>
              <w:t xml:space="preserve"> </w:t>
            </w:r>
            <w:r w:rsidR="00A86D46" w:rsidRPr="00272385">
              <w:rPr>
                <w:rFonts w:eastAsia="Times New Roman" w:cstheme="minorHAnsi"/>
                <w:sz w:val="16"/>
                <w:szCs w:val="16"/>
                <w:lang w:val="en-GB" w:eastAsia="fr-BE"/>
              </w:rPr>
              <w:t>for reporting on policies and measures and for reporting on projections of anthropogenic greenhouse</w:t>
            </w:r>
            <w:r w:rsidRPr="00272385">
              <w:rPr>
                <w:rFonts w:eastAsia="Times New Roman" w:cstheme="minorHAnsi"/>
                <w:sz w:val="16"/>
                <w:szCs w:val="16"/>
                <w:lang w:val="en-GB" w:eastAsia="fr-BE"/>
              </w:rPr>
              <w:t xml:space="preserve"> </w:t>
            </w:r>
            <w:r w:rsidR="00A86D46" w:rsidRPr="00272385">
              <w:rPr>
                <w:rFonts w:eastAsia="Times New Roman" w:cstheme="minorHAnsi"/>
                <w:sz w:val="16"/>
                <w:szCs w:val="16"/>
                <w:lang w:val="en-GB" w:eastAsia="fr-BE"/>
              </w:rPr>
              <w:t>gas emissions by sources and removals by sinks</w:t>
            </w:r>
            <w:r w:rsidRPr="00272385">
              <w:rPr>
                <w:rFonts w:eastAsia="Times New Roman" w:cstheme="minorHAnsi"/>
                <w:sz w:val="16"/>
                <w:szCs w:val="16"/>
                <w:lang w:val="en-GB" w:eastAsia="fr-BE"/>
              </w:rPr>
              <w:t xml:space="preserve"> is established</w:t>
            </w:r>
            <w:r w:rsidR="0045765B" w:rsidRPr="00272385">
              <w:rPr>
                <w:rFonts w:eastAsia="Times New Roman" w:cstheme="minorHAnsi"/>
                <w:sz w:val="16"/>
                <w:szCs w:val="16"/>
                <w:lang w:val="en-GB" w:eastAsia="fr-BE"/>
              </w:rPr>
              <w:t xml:space="preserve"> under Article 39 of the </w:t>
            </w:r>
            <w:hyperlink r:id="rId12" w:history="1">
              <w:r w:rsidR="00EE3531" w:rsidRPr="00272385">
                <w:rPr>
                  <w:rStyle w:val="Hyperlink"/>
                  <w:rFonts w:eastAsia="Times New Roman" w:cstheme="minorHAnsi"/>
                  <w:sz w:val="16"/>
                  <w:szCs w:val="16"/>
                  <w:lang w:val="en-GB" w:eastAsia="fr-BE"/>
                </w:rPr>
                <w:t>Governance of the Energy Union and Climate Action Regulation</w:t>
              </w:r>
              <w:r w:rsidR="006D5F7B" w:rsidRPr="00272385">
                <w:rPr>
                  <w:rStyle w:val="Hyperlink"/>
                  <w:rFonts w:eastAsia="Times New Roman" w:cstheme="minorHAnsi"/>
                  <w:sz w:val="16"/>
                  <w:szCs w:val="16"/>
                  <w:lang w:val="en-GB" w:eastAsia="fr-BE"/>
                </w:rPr>
                <w:t xml:space="preserve"> (EU)</w:t>
              </w:r>
              <w:r w:rsidR="00FF06C9" w:rsidRPr="00272385">
                <w:rPr>
                  <w:rStyle w:val="Hyperlink"/>
                  <w:rFonts w:eastAsia="Times New Roman" w:cstheme="minorHAnsi"/>
                  <w:sz w:val="16"/>
                  <w:szCs w:val="16"/>
                  <w:lang w:val="en-GB" w:eastAsia="fr-BE"/>
                </w:rPr>
                <w:t xml:space="preserve"> 2018/1999</w:t>
              </w:r>
            </w:hyperlink>
            <w:r w:rsidR="00374631" w:rsidRPr="00272385">
              <w:rPr>
                <w:rFonts w:eastAsia="Times New Roman" w:cstheme="minorHAnsi"/>
                <w:sz w:val="16"/>
                <w:szCs w:val="16"/>
                <w:lang w:val="en-GB" w:eastAsia="fr-BE"/>
              </w:rPr>
              <w:t xml:space="preserve"> (“Governance Regulation”)</w:t>
            </w:r>
            <w:r w:rsidR="00EE3531" w:rsidRPr="00272385">
              <w:rPr>
                <w:rFonts w:eastAsia="Times New Roman" w:cstheme="minorHAnsi"/>
                <w:sz w:val="16"/>
                <w:szCs w:val="16"/>
                <w:lang w:val="en-GB" w:eastAsia="fr-BE"/>
              </w:rPr>
              <w:t xml:space="preserve"> and its</w:t>
            </w:r>
            <w:r w:rsidR="002C1829" w:rsidRPr="00272385">
              <w:rPr>
                <w:lang w:val="en-GB"/>
              </w:rPr>
              <w:t xml:space="preserve"> </w:t>
            </w:r>
            <w:hyperlink r:id="rId13" w:history="1">
              <w:r w:rsidR="002C1829" w:rsidRPr="00272385">
                <w:rPr>
                  <w:rStyle w:val="Hyperlink"/>
                  <w:rFonts w:eastAsia="Times New Roman" w:cstheme="minorHAnsi"/>
                  <w:sz w:val="16"/>
                  <w:szCs w:val="16"/>
                  <w:lang w:val="en-GB" w:eastAsia="fr-BE"/>
                </w:rPr>
                <w:t>Implementing Regulation (EU) 2020/1208</w:t>
              </w:r>
            </w:hyperlink>
            <w:r w:rsidR="002C1829" w:rsidRPr="00272385">
              <w:rPr>
                <w:rFonts w:eastAsia="Times New Roman" w:cstheme="minorHAnsi"/>
                <w:sz w:val="16"/>
                <w:szCs w:val="16"/>
                <w:lang w:val="en-GB" w:eastAsia="fr-BE"/>
              </w:rPr>
              <w:t>.</w:t>
            </w:r>
            <w:r w:rsidR="009D2232" w:rsidRPr="00272385">
              <w:rPr>
                <w:rFonts w:eastAsia="Times New Roman" w:cstheme="minorHAnsi"/>
                <w:sz w:val="16"/>
                <w:szCs w:val="16"/>
                <w:lang w:val="en-GB" w:eastAsia="fr-BE"/>
              </w:rPr>
              <w:t xml:space="preserve"> Countries were obligated to report </w:t>
            </w:r>
            <w:r w:rsidR="001D5AD2" w:rsidRPr="00272385">
              <w:rPr>
                <w:rFonts w:eastAsia="Times New Roman" w:cstheme="minorHAnsi"/>
                <w:sz w:val="16"/>
                <w:szCs w:val="16"/>
                <w:lang w:val="en-GB" w:eastAsia="fr-BE"/>
              </w:rPr>
              <w:t xml:space="preserve">under Article 39 of the Governance Regulation </w:t>
            </w:r>
            <w:r w:rsidR="009D2232" w:rsidRPr="00272385">
              <w:rPr>
                <w:rFonts w:eastAsia="Times New Roman" w:cstheme="minorHAnsi"/>
                <w:sz w:val="16"/>
                <w:szCs w:val="16"/>
                <w:lang w:val="en-GB" w:eastAsia="fr-BE"/>
              </w:rPr>
              <w:t xml:space="preserve">on their established national system </w:t>
            </w:r>
            <w:r w:rsidR="005849A0" w:rsidRPr="00272385">
              <w:rPr>
                <w:rFonts w:eastAsia="Times New Roman" w:cstheme="minorHAnsi"/>
                <w:sz w:val="16"/>
                <w:szCs w:val="16"/>
                <w:lang w:val="en-GB" w:eastAsia="fr-BE"/>
              </w:rPr>
              <w:t>in 2021, and subsequent reporting is mandated only in case of modifications to that system. Thus, u</w:t>
            </w:r>
            <w:r w:rsidR="008415C0" w:rsidRPr="00272385">
              <w:rPr>
                <w:rFonts w:eastAsia="Times New Roman" w:cstheme="minorHAnsi"/>
                <w:sz w:val="16"/>
                <w:szCs w:val="16"/>
                <w:lang w:val="en-GB" w:eastAsia="fr-BE"/>
              </w:rPr>
              <w:t xml:space="preserve">pdates to the dataset can be made annually if there are updates to the </w:t>
            </w:r>
            <w:r w:rsidR="00580EC0" w:rsidRPr="00272385">
              <w:rPr>
                <w:rFonts w:eastAsia="Times New Roman" w:cstheme="minorHAnsi"/>
                <w:sz w:val="16"/>
                <w:szCs w:val="16"/>
                <w:lang w:val="en-GB" w:eastAsia="fr-BE"/>
              </w:rPr>
              <w:t>national system</w:t>
            </w:r>
            <w:r w:rsidR="008415C0" w:rsidRPr="00272385">
              <w:rPr>
                <w:rFonts w:eastAsia="Times New Roman" w:cstheme="minorHAnsi"/>
                <w:sz w:val="16"/>
                <w:szCs w:val="16"/>
                <w:lang w:val="en-GB" w:eastAsia="fr-BE"/>
              </w:rPr>
              <w:t>.</w:t>
            </w:r>
          </w:p>
          <w:p w14:paraId="14253013" w14:textId="4160D924" w:rsidR="00645E54" w:rsidRPr="00272385" w:rsidRDefault="00FE1D3E" w:rsidP="0090751E">
            <w:pPr>
              <w:spacing w:beforeLines="20" w:before="48" w:afterLines="20" w:after="48" w:line="240" w:lineRule="auto"/>
              <w:rPr>
                <w:rFonts w:eastAsia="Times New Roman" w:cstheme="minorHAnsi"/>
                <w:sz w:val="16"/>
                <w:szCs w:val="16"/>
                <w:lang w:val="en-GB" w:eastAsia="fr-BE"/>
              </w:rPr>
            </w:pPr>
            <w:r w:rsidRPr="00272385">
              <w:rPr>
                <w:rFonts w:eastAsia="Times New Roman" w:cstheme="minorHAnsi"/>
                <w:sz w:val="16"/>
                <w:szCs w:val="16"/>
                <w:lang w:val="en-GB" w:eastAsia="fr-BE"/>
              </w:rPr>
              <w:t>The dataset includes</w:t>
            </w:r>
            <w:r w:rsidR="00E378A3" w:rsidRPr="00272385">
              <w:rPr>
                <w:rFonts w:eastAsia="Times New Roman" w:cstheme="minorHAnsi"/>
                <w:sz w:val="16"/>
                <w:szCs w:val="16"/>
                <w:lang w:val="en-GB" w:eastAsia="fr-BE"/>
              </w:rPr>
              <w:t xml:space="preserve"> qualitative</w:t>
            </w:r>
            <w:r w:rsidRPr="00272385">
              <w:rPr>
                <w:rFonts w:eastAsia="Times New Roman" w:cstheme="minorHAnsi"/>
                <w:sz w:val="16"/>
                <w:szCs w:val="16"/>
                <w:lang w:val="en-GB" w:eastAsia="fr-BE"/>
              </w:rPr>
              <w:t xml:space="preserve"> information on the </w:t>
            </w:r>
            <w:r w:rsidR="00CF694F" w:rsidRPr="00272385">
              <w:rPr>
                <w:rFonts w:eastAsia="Times New Roman"/>
                <w:sz w:val="16"/>
                <w:szCs w:val="16"/>
                <w:lang w:val="en-GB" w:eastAsia="fr-BE"/>
              </w:rPr>
              <w:t>institutional, legal and procedural arrangements that</w:t>
            </w:r>
            <w:r w:rsidR="0090751E" w:rsidRPr="00272385">
              <w:rPr>
                <w:rFonts w:eastAsia="Times New Roman"/>
                <w:sz w:val="16"/>
                <w:szCs w:val="16"/>
                <w:lang w:val="en-GB" w:eastAsia="fr-BE"/>
              </w:rPr>
              <w:t xml:space="preserve"> make up the national system.</w:t>
            </w:r>
          </w:p>
        </w:tc>
      </w:tr>
      <w:tr w:rsidR="00BD64EF" w:rsidRPr="00B56106" w14:paraId="5DC249F1" w14:textId="77777777" w:rsidTr="3779A2E1">
        <w:trPr>
          <w:trHeight w:val="450"/>
        </w:trPr>
        <w:tc>
          <w:tcPr>
            <w:tcW w:w="1273" w:type="dxa"/>
            <w:tcBorders>
              <w:left w:val="single" w:sz="12" w:space="0" w:color="5BAA9D" w:themeColor="accent1"/>
            </w:tcBorders>
            <w:vAlign w:val="center"/>
            <w:hideMark/>
          </w:tcPr>
          <w:p w14:paraId="5847F793"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hideMark/>
          </w:tcPr>
          <w:p w14:paraId="4F75CE44" w14:textId="4D3917BD" w:rsidR="00197FDE" w:rsidRPr="00272385" w:rsidRDefault="479475E8" w:rsidP="054FFAA4">
            <w:pPr>
              <w:spacing w:beforeLines="20" w:before="48" w:afterLines="20" w:after="48" w:line="240" w:lineRule="auto"/>
              <w:rPr>
                <w:rFonts w:ascii="Calibri" w:eastAsia="Calibri" w:hAnsi="Calibri" w:cs="Calibri"/>
                <w:color w:val="000000" w:themeColor="text1"/>
                <w:sz w:val="18"/>
                <w:szCs w:val="18"/>
                <w:lang w:val="en-GB"/>
              </w:rPr>
            </w:pPr>
            <w:r w:rsidRPr="00272385">
              <w:rPr>
                <w:rFonts w:ascii="Calibri" w:eastAsia="Calibri" w:hAnsi="Calibri" w:cs="Calibri"/>
                <w:color w:val="000000" w:themeColor="text1"/>
                <w:sz w:val="18"/>
                <w:szCs w:val="18"/>
                <w:lang w:val="en-GB"/>
              </w:rPr>
              <w:t>Statistical population</w:t>
            </w:r>
          </w:p>
          <w:p w14:paraId="5BF1B604" w14:textId="6DA90D2A" w:rsidR="00197FDE" w:rsidRPr="00272385" w:rsidRDefault="479475E8" w:rsidP="054FFAA4">
            <w:pPr>
              <w:spacing w:beforeLines="20" w:before="48" w:afterLines="20" w:after="48" w:line="240" w:lineRule="auto"/>
              <w:rPr>
                <w:rFonts w:ascii="Calibri" w:eastAsia="Calibri" w:hAnsi="Calibri" w:cs="Calibri"/>
                <w:color w:val="000000" w:themeColor="text1"/>
                <w:sz w:val="14"/>
                <w:szCs w:val="14"/>
                <w:lang w:val="en-GB"/>
              </w:rPr>
            </w:pPr>
            <w:r w:rsidRPr="00272385">
              <w:rPr>
                <w:rFonts w:ascii="Calibri" w:eastAsia="Calibri" w:hAnsi="Calibri" w:cs="Calibri"/>
                <w:i/>
                <w:iCs/>
                <w:color w:val="000000" w:themeColor="text1"/>
                <w:sz w:val="14"/>
                <w:szCs w:val="14"/>
                <w:lang w:val="en-GB"/>
              </w:rPr>
              <w:t>Population about which information is to be sought</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62E09BB5" w14:textId="71B75FED" w:rsidR="005E7C08" w:rsidRPr="00272385" w:rsidRDefault="00A36643" w:rsidP="00BD64EF">
            <w:pPr>
              <w:spacing w:beforeLines="20" w:before="48" w:afterLines="20" w:after="48" w:line="240" w:lineRule="auto"/>
              <w:rPr>
                <w:rFonts w:eastAsia="Times New Roman" w:cstheme="minorHAnsi"/>
                <w:sz w:val="16"/>
                <w:szCs w:val="16"/>
                <w:lang w:val="en-GB" w:eastAsia="fr-BE"/>
              </w:rPr>
            </w:pPr>
            <w:r w:rsidRPr="00272385">
              <w:rPr>
                <w:rFonts w:eastAsia="Times New Roman" w:cstheme="minorHAnsi"/>
                <w:sz w:val="16"/>
                <w:szCs w:val="16"/>
                <w:lang w:val="en-GB" w:eastAsia="fr-BE"/>
              </w:rPr>
              <w:t xml:space="preserve">This dataset refers to the official nationally reported data and therefore applies to the entire statistical population of the national entity in relation to the </w:t>
            </w:r>
            <w:r w:rsidR="00B21664" w:rsidRPr="00272385">
              <w:rPr>
                <w:rFonts w:eastAsia="Times New Roman" w:cstheme="minorHAnsi"/>
                <w:sz w:val="16"/>
                <w:szCs w:val="16"/>
                <w:lang w:val="en-GB" w:eastAsia="fr-BE"/>
              </w:rPr>
              <w:t xml:space="preserve">specific information within the dataset (i.e., </w:t>
            </w:r>
            <w:r w:rsidR="00DF191A" w:rsidRPr="00272385">
              <w:rPr>
                <w:rFonts w:eastAsia="Times New Roman" w:cstheme="minorHAnsi"/>
                <w:sz w:val="16"/>
                <w:szCs w:val="16"/>
                <w:lang w:val="en-GB" w:eastAsia="fr-BE"/>
              </w:rPr>
              <w:t xml:space="preserve">what institutional, legal and procedural arrangements have been established for reporting on </w:t>
            </w:r>
            <w:r w:rsidR="00B508A3" w:rsidRPr="00272385">
              <w:rPr>
                <w:rFonts w:eastAsia="Times New Roman" w:cstheme="minorHAnsi"/>
                <w:sz w:val="16"/>
                <w:szCs w:val="16"/>
                <w:lang w:val="en-GB" w:eastAsia="fr-BE"/>
              </w:rPr>
              <w:t xml:space="preserve">GHG </w:t>
            </w:r>
            <w:r w:rsidR="00DF191A" w:rsidRPr="00272385">
              <w:rPr>
                <w:rFonts w:eastAsia="Times New Roman" w:cstheme="minorHAnsi"/>
                <w:sz w:val="16"/>
                <w:szCs w:val="16"/>
                <w:lang w:val="en-GB" w:eastAsia="fr-BE"/>
              </w:rPr>
              <w:t>emissions policies and measures and GHG projections</w:t>
            </w:r>
            <w:r w:rsidR="00B21664" w:rsidRPr="00272385">
              <w:rPr>
                <w:rFonts w:eastAsia="Times New Roman" w:cstheme="minorHAnsi"/>
                <w:sz w:val="16"/>
                <w:szCs w:val="16"/>
                <w:lang w:val="en-GB" w:eastAsia="fr-BE"/>
              </w:rPr>
              <w:t>).</w:t>
            </w:r>
          </w:p>
        </w:tc>
      </w:tr>
      <w:tr w:rsidR="00BD64EF" w:rsidRPr="00B56106" w14:paraId="6D75EAE5" w14:textId="77777777" w:rsidTr="3779A2E1">
        <w:trPr>
          <w:trHeight w:val="300"/>
        </w:trPr>
        <w:tc>
          <w:tcPr>
            <w:tcW w:w="1273" w:type="dxa"/>
            <w:tcBorders>
              <w:left w:val="single" w:sz="12" w:space="0" w:color="5BAA9D" w:themeColor="accent1"/>
            </w:tcBorders>
            <w:vAlign w:val="center"/>
          </w:tcPr>
          <w:p w14:paraId="019B7E91"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45533640" w14:textId="77777777" w:rsidR="00BD64EF" w:rsidRPr="00272385" w:rsidRDefault="00BD64EF" w:rsidP="00BD64EF">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Reference period</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7B7DE846" w14:textId="1EE40AB5" w:rsidR="00B85ADC" w:rsidRPr="00272385" w:rsidRDefault="00B85ADC" w:rsidP="00C81759">
            <w:pPr>
              <w:spacing w:beforeLines="20" w:before="48" w:afterLines="20" w:after="48" w:line="240" w:lineRule="auto"/>
              <w:rPr>
                <w:rFonts w:eastAsia="Times New Roman"/>
                <w:sz w:val="16"/>
                <w:szCs w:val="16"/>
                <w:lang w:val="en-GB" w:eastAsia="fr-BE"/>
              </w:rPr>
            </w:pPr>
            <w:r w:rsidRPr="00272385">
              <w:rPr>
                <w:rFonts w:eastAsia="Times New Roman"/>
                <w:b/>
                <w:bCs/>
                <w:sz w:val="16"/>
                <w:szCs w:val="16"/>
                <w:lang w:val="en-GB" w:eastAsia="fr-BE"/>
              </w:rPr>
              <w:t>Reference period (dataset)</w:t>
            </w:r>
            <w:r w:rsidR="6FAF1252" w:rsidRPr="00272385">
              <w:rPr>
                <w:rFonts w:eastAsia="Times New Roman"/>
                <w:b/>
                <w:bCs/>
                <w:sz w:val="16"/>
                <w:szCs w:val="16"/>
                <w:lang w:val="en-GB" w:eastAsia="fr-BE"/>
              </w:rPr>
              <w:t>:</w:t>
            </w:r>
            <w:r w:rsidR="00A85ED0" w:rsidRPr="00272385">
              <w:rPr>
                <w:rFonts w:eastAsia="Times New Roman"/>
                <w:b/>
                <w:bCs/>
                <w:sz w:val="16"/>
                <w:szCs w:val="16"/>
                <w:lang w:val="en-GB" w:eastAsia="fr-BE"/>
              </w:rPr>
              <w:t xml:space="preserve"> </w:t>
            </w:r>
            <w:r w:rsidR="00917AB6" w:rsidRPr="00272385">
              <w:rPr>
                <w:rFonts w:eastAsia="Times New Roman"/>
                <w:sz w:val="16"/>
                <w:szCs w:val="16"/>
                <w:lang w:val="en-GB" w:eastAsia="fr-BE"/>
              </w:rPr>
              <w:t>A</w:t>
            </w:r>
            <w:r w:rsidR="000652DD" w:rsidRPr="00272385">
              <w:rPr>
                <w:rFonts w:eastAsia="Times New Roman"/>
                <w:sz w:val="16"/>
                <w:szCs w:val="16"/>
                <w:lang w:val="en-GB" w:eastAsia="fr-BE"/>
              </w:rPr>
              <w:t xml:space="preserve">ll </w:t>
            </w:r>
            <w:r w:rsidR="00960D45" w:rsidRPr="00272385">
              <w:rPr>
                <w:rFonts w:eastAsia="Times New Roman"/>
                <w:sz w:val="16"/>
                <w:szCs w:val="16"/>
                <w:lang w:val="en-GB" w:eastAsia="fr-BE"/>
              </w:rPr>
              <w:t>institutional, legal, and procedural arrangements reported by countries</w:t>
            </w:r>
            <w:r w:rsidR="00B708B1" w:rsidRPr="00272385">
              <w:rPr>
                <w:rFonts w:eastAsia="Times New Roman"/>
                <w:sz w:val="16"/>
                <w:szCs w:val="16"/>
                <w:lang w:val="en-GB" w:eastAsia="fr-BE"/>
              </w:rPr>
              <w:t xml:space="preserve"> are</w:t>
            </w:r>
            <w:r w:rsidR="00D733D1" w:rsidRPr="00272385">
              <w:rPr>
                <w:rFonts w:eastAsia="Times New Roman"/>
                <w:sz w:val="16"/>
                <w:szCs w:val="16"/>
                <w:lang w:val="en-GB" w:eastAsia="fr-BE"/>
              </w:rPr>
              <w:t xml:space="preserve"> </w:t>
            </w:r>
            <w:r w:rsidR="0097737B" w:rsidRPr="00272385">
              <w:rPr>
                <w:rFonts w:eastAsia="Times New Roman"/>
                <w:sz w:val="16"/>
                <w:szCs w:val="16"/>
                <w:lang w:val="en-GB" w:eastAsia="fr-BE"/>
              </w:rPr>
              <w:t xml:space="preserve">the most </w:t>
            </w:r>
            <w:r w:rsidR="00B87EB5" w:rsidRPr="00272385">
              <w:rPr>
                <w:rFonts w:eastAsia="Times New Roman"/>
                <w:sz w:val="16"/>
                <w:szCs w:val="16"/>
                <w:lang w:val="en-GB" w:eastAsia="fr-BE"/>
              </w:rPr>
              <w:t>up to date</w:t>
            </w:r>
            <w:r w:rsidR="00C81759" w:rsidRPr="00272385">
              <w:rPr>
                <w:rFonts w:eastAsia="Times New Roman"/>
                <w:sz w:val="16"/>
                <w:szCs w:val="16"/>
                <w:lang w:val="en-GB" w:eastAsia="fr-BE"/>
              </w:rPr>
              <w:t xml:space="preserve"> by the time </w:t>
            </w:r>
            <w:r w:rsidR="006C3A7D" w:rsidRPr="00272385">
              <w:rPr>
                <w:rFonts w:eastAsia="Times New Roman"/>
                <w:sz w:val="16"/>
                <w:szCs w:val="16"/>
                <w:lang w:val="en-GB" w:eastAsia="fr-BE"/>
              </w:rPr>
              <w:t>of the reporting deadline (March 15)</w:t>
            </w:r>
            <w:r w:rsidR="00453F58" w:rsidRPr="00272385">
              <w:rPr>
                <w:rFonts w:eastAsia="Times New Roman"/>
                <w:sz w:val="16"/>
                <w:szCs w:val="16"/>
                <w:lang w:val="en-GB" w:eastAsia="fr-BE"/>
              </w:rPr>
              <w:t xml:space="preserve"> of the year</w:t>
            </w:r>
            <w:r w:rsidR="00C81759" w:rsidRPr="00272385">
              <w:rPr>
                <w:rFonts w:eastAsia="Times New Roman"/>
                <w:sz w:val="16"/>
                <w:szCs w:val="16"/>
                <w:lang w:val="en-GB" w:eastAsia="fr-BE"/>
              </w:rPr>
              <w:t xml:space="preserve"> when data is reported</w:t>
            </w:r>
            <w:r w:rsidR="006C3A7D" w:rsidRPr="00272385">
              <w:rPr>
                <w:rFonts w:eastAsia="Times New Roman"/>
                <w:sz w:val="16"/>
                <w:szCs w:val="16"/>
                <w:lang w:val="en-GB" w:eastAsia="fr-BE"/>
              </w:rPr>
              <w:t>.</w:t>
            </w:r>
          </w:p>
          <w:p w14:paraId="24550A39" w14:textId="525C1722" w:rsidR="00E851A3" w:rsidRPr="00272385" w:rsidRDefault="004C4A2B" w:rsidP="008F7E50">
            <w:pPr>
              <w:spacing w:beforeLines="20" w:before="48" w:afterLines="20" w:after="48" w:line="240" w:lineRule="auto"/>
              <w:rPr>
                <w:rFonts w:eastAsia="Times New Roman"/>
                <w:i/>
                <w:iCs/>
                <w:sz w:val="16"/>
                <w:szCs w:val="16"/>
                <w:lang w:val="en-GB" w:eastAsia="fr-BE"/>
              </w:rPr>
            </w:pPr>
            <w:r w:rsidRPr="00272385">
              <w:rPr>
                <w:rFonts w:eastAsia="Times New Roman"/>
                <w:i/>
                <w:iCs/>
                <w:sz w:val="16"/>
                <w:szCs w:val="16"/>
                <w:lang w:val="en-GB" w:eastAsia="fr-BE"/>
              </w:rPr>
              <w:t xml:space="preserve">The </w:t>
            </w:r>
            <w:r w:rsidR="000D3CFD" w:rsidRPr="00272385">
              <w:rPr>
                <w:rFonts w:eastAsia="Times New Roman"/>
                <w:i/>
                <w:iCs/>
                <w:sz w:val="16"/>
                <w:szCs w:val="16"/>
                <w:lang w:val="en-GB" w:eastAsia="fr-BE"/>
              </w:rPr>
              <w:t>dataset contains information from 2021, 2023 and 2025 because</w:t>
            </w:r>
            <w:r w:rsidR="00833D68" w:rsidRPr="00272385">
              <w:rPr>
                <w:rFonts w:eastAsia="Times New Roman"/>
                <w:i/>
                <w:iCs/>
                <w:sz w:val="16"/>
                <w:szCs w:val="16"/>
                <w:lang w:val="en-GB" w:eastAsia="fr-BE"/>
              </w:rPr>
              <w:t xml:space="preserve"> it was mandatory to report data in 2021, and later reporting has been mandated only if modifications to the information exist. </w:t>
            </w:r>
            <w:r w:rsidR="00624D65" w:rsidRPr="00272385">
              <w:rPr>
                <w:rFonts w:eastAsia="Times New Roman"/>
                <w:i/>
                <w:iCs/>
                <w:sz w:val="16"/>
                <w:szCs w:val="16"/>
                <w:lang w:val="en-GB" w:eastAsia="fr-BE"/>
              </w:rPr>
              <w:t>Countries have provided updates at different internals, or not updated their initial submission at</w:t>
            </w:r>
            <w:r w:rsidR="008F7E50" w:rsidRPr="00272385">
              <w:rPr>
                <w:rFonts w:eastAsia="Times New Roman"/>
                <w:i/>
                <w:iCs/>
                <w:sz w:val="16"/>
                <w:szCs w:val="16"/>
                <w:lang w:val="en-GB" w:eastAsia="fr-BE"/>
              </w:rPr>
              <w:t xml:space="preserve"> all.</w:t>
            </w:r>
          </w:p>
        </w:tc>
      </w:tr>
      <w:tr w:rsidR="00BD64EF" w:rsidRPr="00272385" w14:paraId="1241F5BB" w14:textId="77777777" w:rsidTr="3779A2E1">
        <w:trPr>
          <w:trHeight w:val="300"/>
        </w:trPr>
        <w:tc>
          <w:tcPr>
            <w:tcW w:w="1273" w:type="dxa"/>
            <w:tcBorders>
              <w:left w:val="single" w:sz="12" w:space="0" w:color="5BAA9D" w:themeColor="accent1"/>
            </w:tcBorders>
            <w:vAlign w:val="center"/>
          </w:tcPr>
          <w:p w14:paraId="5FC14A40"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154A6B38" w14:textId="77777777" w:rsidR="00BD64EF" w:rsidRPr="00272385" w:rsidRDefault="00BD64EF" w:rsidP="00BD64EF">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Frequency of dissemination</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5E1A42C1" w14:textId="78349132" w:rsidR="009A6C78" w:rsidRPr="00272385" w:rsidRDefault="00461BFB" w:rsidP="10F3BC02">
            <w:pPr>
              <w:spacing w:beforeLines="20" w:before="48" w:afterLines="20" w:after="48" w:line="240" w:lineRule="auto"/>
              <w:rPr>
                <w:rFonts w:eastAsia="Times New Roman"/>
                <w:b/>
                <w:bCs/>
                <w:sz w:val="16"/>
                <w:szCs w:val="16"/>
                <w:lang w:val="en-GB" w:eastAsia="fr-BE"/>
              </w:rPr>
            </w:pPr>
            <w:r w:rsidRPr="00272385">
              <w:rPr>
                <w:rFonts w:eastAsia="Times New Roman"/>
                <w:b/>
                <w:bCs/>
                <w:sz w:val="16"/>
                <w:szCs w:val="16"/>
                <w:lang w:val="en-GB" w:eastAsia="fr-BE"/>
              </w:rPr>
              <w:t>Once,</w:t>
            </w:r>
            <w:r w:rsidR="00133F6C" w:rsidRPr="00272385">
              <w:rPr>
                <w:rFonts w:eastAsia="Times New Roman"/>
                <w:b/>
                <w:bCs/>
                <w:sz w:val="16"/>
                <w:szCs w:val="16"/>
                <w:lang w:val="en-GB" w:eastAsia="fr-BE"/>
              </w:rPr>
              <w:t xml:space="preserve"> </w:t>
            </w:r>
            <w:r w:rsidR="00F92D6E" w:rsidRPr="00272385">
              <w:rPr>
                <w:rFonts w:eastAsia="Times New Roman"/>
                <w:b/>
                <w:bCs/>
                <w:sz w:val="16"/>
                <w:szCs w:val="16"/>
                <w:lang w:val="en-GB" w:eastAsia="fr-BE"/>
              </w:rPr>
              <w:t>or</w:t>
            </w:r>
            <w:r w:rsidR="00676395" w:rsidRPr="00272385">
              <w:rPr>
                <w:rFonts w:eastAsia="Times New Roman"/>
                <w:b/>
                <w:bCs/>
                <w:sz w:val="16"/>
                <w:szCs w:val="16"/>
                <w:lang w:val="en-GB" w:eastAsia="fr-BE"/>
              </w:rPr>
              <w:t xml:space="preserve"> </w:t>
            </w:r>
            <w:r w:rsidR="00133862" w:rsidRPr="00272385">
              <w:rPr>
                <w:rFonts w:eastAsia="Times New Roman"/>
                <w:b/>
                <w:bCs/>
                <w:sz w:val="16"/>
                <w:szCs w:val="16"/>
                <w:lang w:val="en-GB" w:eastAsia="fr-BE"/>
              </w:rPr>
              <w:t>annually</w:t>
            </w:r>
          </w:p>
          <w:p w14:paraId="63000162" w14:textId="3E50229B" w:rsidR="00D703A5" w:rsidRPr="00272385" w:rsidRDefault="00B27830" w:rsidP="00BD64EF">
            <w:pPr>
              <w:spacing w:beforeLines="20" w:before="48" w:afterLines="20" w:after="48" w:line="240" w:lineRule="auto"/>
              <w:rPr>
                <w:rFonts w:eastAsia="Times New Roman" w:cstheme="minorHAnsi"/>
                <w:sz w:val="16"/>
                <w:szCs w:val="16"/>
                <w:lang w:val="en-GB" w:eastAsia="fr-BE"/>
              </w:rPr>
            </w:pPr>
            <w:r w:rsidRPr="00272385">
              <w:rPr>
                <w:rFonts w:eastAsia="Times New Roman" w:cstheme="minorHAnsi"/>
                <w:sz w:val="16"/>
                <w:szCs w:val="16"/>
                <w:lang w:val="en-GB" w:eastAsia="fr-BE"/>
              </w:rPr>
              <w:t xml:space="preserve">The dataset </w:t>
            </w:r>
            <w:r w:rsidR="008E50D2" w:rsidRPr="00272385">
              <w:rPr>
                <w:rFonts w:eastAsia="Times New Roman" w:cstheme="minorHAnsi"/>
                <w:sz w:val="16"/>
                <w:szCs w:val="16"/>
                <w:lang w:val="en-GB" w:eastAsia="fr-BE"/>
              </w:rPr>
              <w:t xml:space="preserve">had to be mandatorily reported in 2021. </w:t>
            </w:r>
            <w:r w:rsidR="00FD18AD" w:rsidRPr="00272385">
              <w:rPr>
                <w:rFonts w:eastAsia="Times New Roman" w:cstheme="minorHAnsi"/>
                <w:sz w:val="16"/>
                <w:szCs w:val="16"/>
                <w:lang w:val="en-GB" w:eastAsia="fr-BE"/>
              </w:rPr>
              <w:t>H</w:t>
            </w:r>
            <w:r w:rsidRPr="00272385">
              <w:rPr>
                <w:rFonts w:eastAsia="Times New Roman" w:cstheme="minorHAnsi"/>
                <w:sz w:val="16"/>
                <w:szCs w:val="16"/>
                <w:lang w:val="en-GB" w:eastAsia="fr-BE"/>
              </w:rPr>
              <w:t>owever</w:t>
            </w:r>
            <w:r w:rsidR="00FD18AD" w:rsidRPr="00272385">
              <w:rPr>
                <w:rFonts w:eastAsia="Times New Roman" w:cstheme="minorHAnsi"/>
                <w:sz w:val="16"/>
                <w:szCs w:val="16"/>
                <w:lang w:val="en-GB" w:eastAsia="fr-BE"/>
              </w:rPr>
              <w:t>,</w:t>
            </w:r>
            <w:r w:rsidRPr="00272385">
              <w:rPr>
                <w:rFonts w:eastAsia="Times New Roman" w:cstheme="minorHAnsi"/>
                <w:sz w:val="16"/>
                <w:szCs w:val="16"/>
                <w:lang w:val="en-GB" w:eastAsia="fr-BE"/>
              </w:rPr>
              <w:t xml:space="preserve"> each year the country </w:t>
            </w:r>
            <w:r w:rsidR="00B12533" w:rsidRPr="00272385">
              <w:rPr>
                <w:rFonts w:eastAsia="Times New Roman" w:cstheme="minorHAnsi"/>
                <w:sz w:val="16"/>
                <w:szCs w:val="16"/>
                <w:lang w:val="en-GB" w:eastAsia="fr-BE"/>
              </w:rPr>
              <w:t xml:space="preserve">should </w:t>
            </w:r>
            <w:r w:rsidRPr="00272385">
              <w:rPr>
                <w:rFonts w:eastAsia="Times New Roman" w:cstheme="minorHAnsi"/>
                <w:sz w:val="16"/>
                <w:szCs w:val="16"/>
                <w:lang w:val="en-GB" w:eastAsia="fr-BE"/>
              </w:rPr>
              <w:t>update data</w:t>
            </w:r>
            <w:r w:rsidR="00CB5C56" w:rsidRPr="00272385">
              <w:rPr>
                <w:rFonts w:eastAsia="Times New Roman" w:cstheme="minorHAnsi"/>
                <w:sz w:val="16"/>
                <w:szCs w:val="16"/>
                <w:lang w:val="en-GB" w:eastAsia="fr-BE"/>
              </w:rPr>
              <w:t xml:space="preserve"> related to </w:t>
            </w:r>
            <w:r w:rsidR="00BB595B" w:rsidRPr="00272385">
              <w:rPr>
                <w:rFonts w:eastAsia="Times New Roman" w:cstheme="minorHAnsi"/>
                <w:sz w:val="16"/>
                <w:szCs w:val="16"/>
                <w:lang w:val="en-GB" w:eastAsia="fr-BE"/>
              </w:rPr>
              <w:t>national systems</w:t>
            </w:r>
            <w:r w:rsidR="00F70641" w:rsidRPr="00272385">
              <w:rPr>
                <w:rFonts w:eastAsia="Times New Roman" w:cstheme="minorHAnsi"/>
                <w:sz w:val="16"/>
                <w:szCs w:val="16"/>
                <w:lang w:val="en-GB" w:eastAsia="fr-BE"/>
              </w:rPr>
              <w:t>,</w:t>
            </w:r>
            <w:r w:rsidRPr="00272385">
              <w:rPr>
                <w:rFonts w:eastAsia="Times New Roman" w:cstheme="minorHAnsi"/>
                <w:sz w:val="16"/>
                <w:szCs w:val="16"/>
                <w:lang w:val="en-GB" w:eastAsia="fr-BE"/>
              </w:rPr>
              <w:t xml:space="preserve"> if </w:t>
            </w:r>
            <w:r w:rsidR="00BB595B" w:rsidRPr="00272385">
              <w:rPr>
                <w:rFonts w:eastAsia="Times New Roman" w:cstheme="minorHAnsi"/>
                <w:sz w:val="16"/>
                <w:szCs w:val="16"/>
                <w:lang w:val="en-GB" w:eastAsia="fr-BE"/>
              </w:rPr>
              <w:t>modifications</w:t>
            </w:r>
            <w:r w:rsidR="001D1AA5" w:rsidRPr="00272385">
              <w:rPr>
                <w:rFonts w:eastAsia="Times New Roman" w:cstheme="minorHAnsi"/>
                <w:sz w:val="16"/>
                <w:szCs w:val="16"/>
                <w:lang w:val="en-GB" w:eastAsia="fr-BE"/>
              </w:rPr>
              <w:t xml:space="preserve"> </w:t>
            </w:r>
            <w:r w:rsidR="00EE0403" w:rsidRPr="00272385">
              <w:rPr>
                <w:rFonts w:eastAsia="Times New Roman" w:cstheme="minorHAnsi"/>
                <w:sz w:val="16"/>
                <w:szCs w:val="16"/>
                <w:lang w:val="en-GB" w:eastAsia="fr-BE"/>
              </w:rPr>
              <w:t>to the information exist.</w:t>
            </w:r>
            <w:r w:rsidRPr="00272385">
              <w:rPr>
                <w:rFonts w:eastAsia="Times New Roman" w:cstheme="minorHAnsi"/>
                <w:sz w:val="16"/>
                <w:szCs w:val="16"/>
                <w:lang w:val="en-GB" w:eastAsia="fr-BE"/>
              </w:rPr>
              <w:t xml:space="preserve"> </w:t>
            </w:r>
            <w:r w:rsidR="00EE0403" w:rsidRPr="00272385">
              <w:rPr>
                <w:rFonts w:eastAsia="Times New Roman" w:cstheme="minorHAnsi"/>
                <w:sz w:val="16"/>
                <w:szCs w:val="16"/>
                <w:lang w:val="en-GB" w:eastAsia="fr-BE"/>
              </w:rPr>
              <w:t>Therefore</w:t>
            </w:r>
            <w:r w:rsidR="00F70641" w:rsidRPr="00272385">
              <w:rPr>
                <w:rFonts w:eastAsia="Times New Roman" w:cstheme="minorHAnsi"/>
                <w:sz w:val="16"/>
                <w:szCs w:val="16"/>
                <w:lang w:val="en-GB" w:eastAsia="fr-BE"/>
              </w:rPr>
              <w:t>,</w:t>
            </w:r>
            <w:r w:rsidR="00EE0403" w:rsidRPr="00272385">
              <w:rPr>
                <w:rFonts w:eastAsia="Times New Roman" w:cstheme="minorHAnsi"/>
                <w:sz w:val="16"/>
                <w:szCs w:val="16"/>
                <w:lang w:val="en-GB" w:eastAsia="fr-BE"/>
              </w:rPr>
              <w:t xml:space="preserve"> </w:t>
            </w:r>
            <w:r w:rsidR="00CB19E4" w:rsidRPr="00272385">
              <w:rPr>
                <w:rFonts w:eastAsia="Times New Roman" w:cstheme="minorHAnsi"/>
                <w:sz w:val="16"/>
                <w:szCs w:val="16"/>
                <w:lang w:val="en-GB" w:eastAsia="fr-BE"/>
              </w:rPr>
              <w:t>some</w:t>
            </w:r>
            <w:r w:rsidR="00EE0403" w:rsidRPr="00272385">
              <w:rPr>
                <w:rFonts w:eastAsia="Times New Roman" w:cstheme="minorHAnsi"/>
                <w:sz w:val="16"/>
                <w:szCs w:val="16"/>
                <w:lang w:val="en-GB" w:eastAsia="fr-BE"/>
              </w:rPr>
              <w:t xml:space="preserve"> countries update data annually.</w:t>
            </w:r>
          </w:p>
        </w:tc>
      </w:tr>
      <w:tr w:rsidR="00BD64EF" w:rsidRPr="00B56106" w14:paraId="72A48739" w14:textId="77777777" w:rsidTr="3779A2E1">
        <w:trPr>
          <w:trHeight w:val="300"/>
        </w:trPr>
        <w:tc>
          <w:tcPr>
            <w:tcW w:w="1273" w:type="dxa"/>
            <w:tcBorders>
              <w:left w:val="single" w:sz="12" w:space="0" w:color="5BAA9D" w:themeColor="accent1"/>
            </w:tcBorders>
            <w:vAlign w:val="center"/>
          </w:tcPr>
          <w:p w14:paraId="077CB458"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561F4A4A" w14:textId="77777777" w:rsidR="00BD64EF" w:rsidRPr="00272385" w:rsidRDefault="00BD64EF" w:rsidP="00BD64EF">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Geographical reference area</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0971ED2D" w14:textId="3F85E528" w:rsidR="00C25371" w:rsidRPr="00272385" w:rsidRDefault="00A11A1A" w:rsidP="001C4D1B">
            <w:pPr>
              <w:spacing w:beforeLines="20" w:before="48" w:afterLines="20" w:after="48" w:line="240" w:lineRule="auto"/>
              <w:rPr>
                <w:rFonts w:eastAsia="Times New Roman" w:cstheme="minorHAnsi"/>
                <w:b/>
                <w:bCs/>
                <w:color w:val="3C8EB2" w:themeColor="accent2"/>
                <w:sz w:val="16"/>
                <w:szCs w:val="16"/>
                <w:lang w:val="en-GB" w:eastAsia="fr-BE"/>
              </w:rPr>
            </w:pPr>
            <w:r w:rsidRPr="00272385">
              <w:rPr>
                <w:rFonts w:eastAsia="Times New Roman" w:cstheme="minorHAnsi"/>
                <w:b/>
                <w:bCs/>
                <w:sz w:val="16"/>
                <w:szCs w:val="16"/>
                <w:lang w:val="en-GB" w:eastAsia="fr-BE"/>
              </w:rPr>
              <w:t>All EU M</w:t>
            </w:r>
            <w:r w:rsidR="0015100C" w:rsidRPr="00272385">
              <w:rPr>
                <w:rFonts w:eastAsia="Times New Roman" w:cstheme="minorHAnsi"/>
                <w:b/>
                <w:bCs/>
                <w:sz w:val="16"/>
                <w:szCs w:val="16"/>
                <w:lang w:val="en-GB" w:eastAsia="fr-BE"/>
              </w:rPr>
              <w:t>ember States</w:t>
            </w:r>
            <w:r w:rsidR="001C4D1B" w:rsidRPr="00272385">
              <w:rPr>
                <w:rFonts w:eastAsia="Times New Roman" w:cstheme="minorHAnsi"/>
                <w:b/>
                <w:bCs/>
                <w:sz w:val="16"/>
                <w:szCs w:val="16"/>
                <w:lang w:val="en-GB" w:eastAsia="fr-BE"/>
              </w:rPr>
              <w:t xml:space="preserve">, and </w:t>
            </w:r>
            <w:r w:rsidR="00391A24" w:rsidRPr="00272385">
              <w:rPr>
                <w:rFonts w:eastAsia="Times New Roman" w:cstheme="minorHAnsi"/>
                <w:b/>
                <w:bCs/>
                <w:sz w:val="16"/>
                <w:szCs w:val="16"/>
                <w:lang w:val="en-GB" w:eastAsia="fr-BE"/>
              </w:rPr>
              <w:t>Iceland, Switzerland, and Norway</w:t>
            </w:r>
            <w:r w:rsidR="00B04849" w:rsidRPr="00272385">
              <w:rPr>
                <w:rFonts w:eastAsia="Times New Roman" w:cstheme="minorHAnsi"/>
                <w:b/>
                <w:bCs/>
                <w:sz w:val="16"/>
                <w:szCs w:val="16"/>
                <w:lang w:val="en-GB" w:eastAsia="fr-BE"/>
              </w:rPr>
              <w:t xml:space="preserve">. </w:t>
            </w:r>
          </w:p>
        </w:tc>
      </w:tr>
      <w:tr w:rsidR="00BD64EF" w:rsidRPr="00B56106" w14:paraId="16C8FC08" w14:textId="77777777" w:rsidTr="3779A2E1">
        <w:trPr>
          <w:trHeight w:val="300"/>
        </w:trPr>
        <w:tc>
          <w:tcPr>
            <w:tcW w:w="1273" w:type="dxa"/>
            <w:tcBorders>
              <w:left w:val="single" w:sz="12" w:space="0" w:color="5BAA9D" w:themeColor="accent1"/>
            </w:tcBorders>
            <w:vAlign w:val="center"/>
          </w:tcPr>
          <w:p w14:paraId="2CE49889"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58BC78F0" w14:textId="77777777" w:rsidR="00BD64EF" w:rsidRPr="00272385" w:rsidRDefault="00BD64EF" w:rsidP="00BD64EF">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Unit of measure</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51787FBB" w14:textId="40B043C5" w:rsidR="007A256F" w:rsidRPr="00272385" w:rsidRDefault="007A256F" w:rsidP="00BD64EF">
            <w:p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 xml:space="preserve">Dataset </w:t>
            </w:r>
            <w:r w:rsidR="007F7D2E" w:rsidRPr="00272385">
              <w:rPr>
                <w:rFonts w:eastAsia="Times New Roman"/>
                <w:sz w:val="16"/>
                <w:szCs w:val="16"/>
                <w:lang w:val="en-GB" w:eastAsia="fr-BE"/>
              </w:rPr>
              <w:t>contains only</w:t>
            </w:r>
            <w:r w:rsidRPr="00272385">
              <w:rPr>
                <w:rFonts w:eastAsia="Times New Roman"/>
                <w:sz w:val="16"/>
                <w:szCs w:val="16"/>
                <w:lang w:val="en-GB" w:eastAsia="fr-BE"/>
              </w:rPr>
              <w:t xml:space="preserve"> qualitative data, no unit of measure is applicable.</w:t>
            </w:r>
          </w:p>
        </w:tc>
      </w:tr>
      <w:tr w:rsidR="00BD64EF" w:rsidRPr="00B56106" w14:paraId="11C18524" w14:textId="77777777" w:rsidTr="3779A2E1">
        <w:trPr>
          <w:trHeight w:val="450"/>
        </w:trPr>
        <w:tc>
          <w:tcPr>
            <w:tcW w:w="1273" w:type="dxa"/>
            <w:tcBorders>
              <w:left w:val="single" w:sz="12" w:space="0" w:color="5BAA9D" w:themeColor="accent1"/>
            </w:tcBorders>
            <w:vAlign w:val="center"/>
            <w:hideMark/>
          </w:tcPr>
          <w:p w14:paraId="3779833E"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hideMark/>
          </w:tcPr>
          <w:p w14:paraId="4BACAE2D" w14:textId="77777777" w:rsidR="00BD64EF" w:rsidRPr="00272385" w:rsidRDefault="00BD64EF" w:rsidP="00BD64EF">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Basic statistical concepts and definitions</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6C84CB26" w14:textId="5ECE65D2" w:rsidR="00261142" w:rsidRPr="00272385" w:rsidRDefault="00261142" w:rsidP="3AA02AF9">
            <w:p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The dataset contains only qualitative data, so no basic statistical concepts or variables are applicable.</w:t>
            </w:r>
          </w:p>
          <w:p w14:paraId="12AFAD02" w14:textId="7733897A" w:rsidR="00261142" w:rsidRPr="00272385" w:rsidRDefault="00261142" w:rsidP="3AA02AF9">
            <w:p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The following definitions</w:t>
            </w:r>
            <w:r w:rsidR="00E01D49" w:rsidRPr="00272385">
              <w:rPr>
                <w:rFonts w:eastAsia="Times New Roman"/>
                <w:sz w:val="16"/>
                <w:szCs w:val="16"/>
                <w:lang w:val="en-GB" w:eastAsia="fr-BE"/>
              </w:rPr>
              <w:t xml:space="preserve"> are important for reporting:</w:t>
            </w:r>
          </w:p>
          <w:p w14:paraId="00540ABD" w14:textId="423FE9F4" w:rsidR="009C77C9" w:rsidRPr="00272385" w:rsidRDefault="00774BE4" w:rsidP="00E01D49">
            <w:pPr>
              <w:pStyle w:val="ListParagraph"/>
              <w:numPr>
                <w:ilvl w:val="0"/>
                <w:numId w:val="15"/>
              </w:num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N</w:t>
            </w:r>
            <w:r w:rsidR="00E01D49" w:rsidRPr="00272385">
              <w:rPr>
                <w:rFonts w:eastAsia="Times New Roman"/>
                <w:sz w:val="16"/>
                <w:szCs w:val="16"/>
                <w:lang w:val="en-GB" w:eastAsia="fr-BE"/>
              </w:rPr>
              <w:t>ational inventory system</w:t>
            </w:r>
            <w:r w:rsidR="002F4893" w:rsidRPr="00272385">
              <w:rPr>
                <w:rFonts w:eastAsia="Times New Roman"/>
                <w:sz w:val="16"/>
                <w:szCs w:val="16"/>
                <w:lang w:val="en-GB" w:eastAsia="fr-BE"/>
              </w:rPr>
              <w:t xml:space="preserve"> </w:t>
            </w:r>
            <w:r w:rsidR="00F60100" w:rsidRPr="00272385">
              <w:rPr>
                <w:rFonts w:eastAsia="Times New Roman"/>
                <w:sz w:val="16"/>
                <w:szCs w:val="16"/>
                <w:lang w:val="en-GB" w:eastAsia="fr-BE"/>
              </w:rPr>
              <w:t xml:space="preserve">is the </w:t>
            </w:r>
            <w:r w:rsidR="00B80DE3" w:rsidRPr="00272385">
              <w:rPr>
                <w:rFonts w:eastAsia="Times New Roman"/>
                <w:sz w:val="16"/>
                <w:szCs w:val="16"/>
                <w:lang w:val="en-GB" w:eastAsia="fr-BE"/>
              </w:rPr>
              <w:t>institutional, legal, and procedural framework established by each Member State to ensure the accurate, transparent, and consistent estimation and reporting of greenhouse gas emissions and removals to be reported in the National Inventory Reports</w:t>
            </w:r>
            <w:r w:rsidR="00187FA7" w:rsidRPr="00272385">
              <w:rPr>
                <w:rFonts w:eastAsia="Times New Roman"/>
                <w:sz w:val="16"/>
                <w:szCs w:val="16"/>
                <w:lang w:val="en-GB" w:eastAsia="fr-BE"/>
              </w:rPr>
              <w:t xml:space="preserve"> (NIR)</w:t>
            </w:r>
            <w:r w:rsidR="009C77C9" w:rsidRPr="00272385">
              <w:rPr>
                <w:rFonts w:eastAsia="Times New Roman"/>
                <w:sz w:val="16"/>
                <w:szCs w:val="16"/>
                <w:lang w:val="en-GB" w:eastAsia="fr-BE"/>
              </w:rPr>
              <w:t>.</w:t>
            </w:r>
          </w:p>
          <w:p w14:paraId="0F0ECE25" w14:textId="4DCD5BF5" w:rsidR="0005079B" w:rsidRPr="00272385" w:rsidRDefault="009C77C9" w:rsidP="00187FA7">
            <w:pPr>
              <w:pStyle w:val="ListParagraph"/>
              <w:numPr>
                <w:ilvl w:val="0"/>
                <w:numId w:val="15"/>
              </w:num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I</w:t>
            </w:r>
            <w:r w:rsidR="00E01D49" w:rsidRPr="00272385">
              <w:rPr>
                <w:rFonts w:eastAsia="Times New Roman"/>
                <w:sz w:val="16"/>
                <w:szCs w:val="16"/>
                <w:lang w:val="en-GB" w:eastAsia="fr-BE"/>
              </w:rPr>
              <w:t>ntegrated national energy and climate report</w:t>
            </w:r>
            <w:r w:rsidR="00966C37" w:rsidRPr="00272385">
              <w:rPr>
                <w:rFonts w:eastAsia="Times New Roman"/>
                <w:sz w:val="16"/>
                <w:szCs w:val="16"/>
                <w:lang w:val="en-GB" w:eastAsia="fr-BE"/>
              </w:rPr>
              <w:t xml:space="preserve"> </w:t>
            </w:r>
            <w:r w:rsidR="00187FA7" w:rsidRPr="00272385">
              <w:rPr>
                <w:rFonts w:eastAsia="Times New Roman"/>
                <w:sz w:val="16"/>
                <w:szCs w:val="16"/>
                <w:lang w:val="en-GB" w:eastAsia="fr-BE"/>
              </w:rPr>
              <w:t xml:space="preserve">(NECPR) </w:t>
            </w:r>
            <w:r w:rsidR="00966C37" w:rsidRPr="00272385">
              <w:rPr>
                <w:rFonts w:eastAsia="Times New Roman"/>
                <w:sz w:val="16"/>
                <w:szCs w:val="16"/>
                <w:lang w:val="en-GB" w:eastAsia="fr-BE"/>
              </w:rPr>
              <w:t xml:space="preserve">refers to the biennial reporting mandated under Article 17 of Regulation (EU) 2018/1999, where Member States have to report </w:t>
            </w:r>
            <w:r w:rsidR="0005079B" w:rsidRPr="00272385">
              <w:rPr>
                <w:rFonts w:eastAsia="Times New Roman"/>
                <w:sz w:val="16"/>
                <w:szCs w:val="16"/>
                <w:lang w:val="en-GB" w:eastAsia="fr-BE"/>
              </w:rPr>
              <w:t>on the status of implementation of its integrated national energy and climate plan by means of an integrated national energy and climate progress report covering all five dimensions of the Energy Union.</w:t>
            </w:r>
          </w:p>
          <w:p w14:paraId="3B8568AF" w14:textId="28FF206A" w:rsidR="00261142" w:rsidRPr="00272385" w:rsidRDefault="009B1930">
            <w:pPr>
              <w:pStyle w:val="ListParagraph"/>
              <w:numPr>
                <w:ilvl w:val="0"/>
                <w:numId w:val="16"/>
              </w:num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N</w:t>
            </w:r>
            <w:r w:rsidR="00E01D49" w:rsidRPr="00272385">
              <w:rPr>
                <w:rFonts w:eastAsia="Times New Roman"/>
                <w:sz w:val="16"/>
                <w:szCs w:val="16"/>
                <w:lang w:val="en-GB" w:eastAsia="fr-BE"/>
              </w:rPr>
              <w:t xml:space="preserve">ationally </w:t>
            </w:r>
            <w:r w:rsidR="003B0C07" w:rsidRPr="00272385">
              <w:rPr>
                <w:rFonts w:eastAsia="Times New Roman"/>
                <w:sz w:val="16"/>
                <w:szCs w:val="16"/>
                <w:lang w:val="en-GB" w:eastAsia="fr-BE"/>
              </w:rPr>
              <w:t>D</w:t>
            </w:r>
            <w:r w:rsidR="00E01D49" w:rsidRPr="00272385">
              <w:rPr>
                <w:rFonts w:eastAsia="Times New Roman"/>
                <w:sz w:val="16"/>
                <w:szCs w:val="16"/>
                <w:lang w:val="en-GB" w:eastAsia="fr-BE"/>
              </w:rPr>
              <w:t xml:space="preserve">etermined </w:t>
            </w:r>
            <w:r w:rsidR="003B0C07" w:rsidRPr="00272385">
              <w:rPr>
                <w:rFonts w:eastAsia="Times New Roman"/>
                <w:sz w:val="16"/>
                <w:szCs w:val="16"/>
                <w:lang w:val="en-GB" w:eastAsia="fr-BE"/>
              </w:rPr>
              <w:t>C</w:t>
            </w:r>
            <w:r w:rsidR="00E01D49" w:rsidRPr="00272385">
              <w:rPr>
                <w:rFonts w:eastAsia="Times New Roman"/>
                <w:sz w:val="16"/>
                <w:szCs w:val="16"/>
                <w:lang w:val="en-GB" w:eastAsia="fr-BE"/>
              </w:rPr>
              <w:t>ontribution</w:t>
            </w:r>
            <w:r w:rsidRPr="00272385">
              <w:rPr>
                <w:rFonts w:eastAsia="Times New Roman"/>
                <w:sz w:val="16"/>
                <w:szCs w:val="16"/>
                <w:lang w:val="en-GB" w:eastAsia="fr-BE"/>
              </w:rPr>
              <w:t xml:space="preserve"> </w:t>
            </w:r>
            <w:r w:rsidR="003B0C07" w:rsidRPr="00272385">
              <w:rPr>
                <w:rFonts w:eastAsia="Times New Roman"/>
                <w:sz w:val="16"/>
                <w:szCs w:val="16"/>
                <w:lang w:val="en-GB" w:eastAsia="fr-BE"/>
              </w:rPr>
              <w:t>(NDC)</w:t>
            </w:r>
            <w:r w:rsidR="003C4F2F" w:rsidRPr="00272385">
              <w:rPr>
                <w:rFonts w:eastAsia="Times New Roman"/>
                <w:sz w:val="16"/>
                <w:szCs w:val="16"/>
                <w:lang w:val="en-GB" w:eastAsia="fr-BE"/>
              </w:rPr>
              <w:t xml:space="preserve"> is a country’s detailed plan t</w:t>
            </w:r>
            <w:r w:rsidR="00B24342" w:rsidRPr="00272385">
              <w:rPr>
                <w:rFonts w:eastAsia="Times New Roman"/>
                <w:sz w:val="16"/>
                <w:szCs w:val="16"/>
                <w:lang w:val="en-GB" w:eastAsia="fr-BE"/>
              </w:rPr>
              <w:t xml:space="preserve">hat outlines how it plans to cut greenhouse gas emissions and </w:t>
            </w:r>
            <w:r w:rsidR="00CF228E" w:rsidRPr="00272385">
              <w:rPr>
                <w:rFonts w:eastAsia="Times New Roman"/>
                <w:sz w:val="16"/>
                <w:szCs w:val="16"/>
                <w:lang w:val="en-GB" w:eastAsia="fr-BE"/>
              </w:rPr>
              <w:t>contribute towards achieving the Paris Agreement temperature goals (</w:t>
            </w:r>
            <w:r w:rsidR="00B24342" w:rsidRPr="00272385">
              <w:rPr>
                <w:rFonts w:eastAsia="Times New Roman"/>
                <w:sz w:val="16"/>
                <w:szCs w:val="16"/>
                <w:lang w:val="en-GB" w:eastAsia="fr-BE"/>
              </w:rPr>
              <w:t>help limit global warming to "well below" 2 degrees C, with efforts to limit it to 1.5 degrees C</w:t>
            </w:r>
            <w:r w:rsidR="00187FA7" w:rsidRPr="00272385">
              <w:rPr>
                <w:rFonts w:eastAsia="Times New Roman"/>
                <w:sz w:val="16"/>
                <w:szCs w:val="16"/>
                <w:lang w:val="en-GB" w:eastAsia="fr-BE"/>
              </w:rPr>
              <w:t>)</w:t>
            </w:r>
            <w:r w:rsidR="00B24342" w:rsidRPr="00272385">
              <w:rPr>
                <w:rFonts w:eastAsia="Times New Roman"/>
                <w:sz w:val="16"/>
                <w:szCs w:val="16"/>
                <w:lang w:val="en-GB" w:eastAsia="fr-BE"/>
              </w:rPr>
              <w:t>. NDCs have to be submitted to the United Nations Framework Convention</w:t>
            </w:r>
            <w:r w:rsidR="00CF228E" w:rsidRPr="00272385">
              <w:rPr>
                <w:rFonts w:eastAsia="Times New Roman"/>
                <w:sz w:val="16"/>
                <w:szCs w:val="16"/>
                <w:lang w:val="en-GB" w:eastAsia="fr-BE"/>
              </w:rPr>
              <w:t xml:space="preserve"> on Climate Change every five years, </w:t>
            </w:r>
            <w:r w:rsidR="000C48BA" w:rsidRPr="00272385">
              <w:rPr>
                <w:rFonts w:eastAsia="Times New Roman"/>
                <w:sz w:val="16"/>
                <w:szCs w:val="16"/>
                <w:lang w:val="en-GB" w:eastAsia="fr-BE"/>
              </w:rPr>
              <w:t xml:space="preserve">reflecting the country’s “highest possible ambition”. </w:t>
            </w:r>
            <w:r w:rsidR="00906F82" w:rsidRPr="00272385">
              <w:rPr>
                <w:rFonts w:eastAsia="Times New Roman"/>
                <w:sz w:val="16"/>
                <w:szCs w:val="16"/>
                <w:lang w:val="en-GB" w:eastAsia="fr-BE"/>
              </w:rPr>
              <w:t>The European Union submits</w:t>
            </w:r>
            <w:r w:rsidR="0024517D" w:rsidRPr="00272385">
              <w:rPr>
                <w:rFonts w:eastAsia="Times New Roman"/>
                <w:sz w:val="16"/>
                <w:szCs w:val="16"/>
                <w:lang w:val="en-GB" w:eastAsia="fr-BE"/>
              </w:rPr>
              <w:t xml:space="preserve"> one NDC on behalf of all EU Member States.</w:t>
            </w:r>
          </w:p>
          <w:p w14:paraId="458937BF" w14:textId="6EE5989E" w:rsidR="00261142" w:rsidRPr="00272385" w:rsidRDefault="00E24AF5" w:rsidP="001902B3">
            <w:pPr>
              <w:spacing w:beforeLines="20" w:before="48" w:afterLines="20" w:after="48" w:line="240" w:lineRule="auto"/>
              <w:rPr>
                <w:rFonts w:eastAsia="Times New Roman" w:cstheme="minorHAnsi"/>
                <w:sz w:val="16"/>
                <w:szCs w:val="16"/>
                <w:lang w:val="en-GB" w:eastAsia="fr-BE"/>
              </w:rPr>
            </w:pPr>
            <w:r w:rsidRPr="00272385">
              <w:rPr>
                <w:rFonts w:eastAsia="Times New Roman"/>
                <w:sz w:val="16"/>
                <w:szCs w:val="16"/>
                <w:lang w:val="en-GB" w:eastAsia="fr-BE"/>
              </w:rPr>
              <w:t xml:space="preserve">For reporting, there are </w:t>
            </w:r>
            <w:r w:rsidRPr="00272385">
              <w:rPr>
                <w:rFonts w:eastAsia="Times New Roman" w:cstheme="minorHAnsi"/>
                <w:sz w:val="16"/>
                <w:szCs w:val="16"/>
                <w:lang w:val="en-GB" w:eastAsia="fr-BE"/>
              </w:rPr>
              <w:t>two distinct concepts:</w:t>
            </w:r>
          </w:p>
          <w:p w14:paraId="1AA427CB" w14:textId="45915367" w:rsidR="006A6AD1" w:rsidRPr="00272385" w:rsidRDefault="00E24AF5" w:rsidP="006A6AD1">
            <w:pPr>
              <w:pStyle w:val="ListParagraph"/>
              <w:numPr>
                <w:ilvl w:val="0"/>
                <w:numId w:val="14"/>
              </w:num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Policies and Measures (</w:t>
            </w:r>
            <w:proofErr w:type="spellStart"/>
            <w:r w:rsidRPr="00272385">
              <w:rPr>
                <w:rFonts w:eastAsia="Times New Roman"/>
                <w:sz w:val="16"/>
                <w:szCs w:val="16"/>
                <w:lang w:val="en-GB" w:eastAsia="fr-BE"/>
              </w:rPr>
              <w:t>PaMs</w:t>
            </w:r>
            <w:proofErr w:type="spellEnd"/>
            <w:r w:rsidRPr="00272385">
              <w:rPr>
                <w:rFonts w:eastAsia="Times New Roman"/>
                <w:sz w:val="16"/>
                <w:szCs w:val="16"/>
                <w:lang w:val="en-GB" w:eastAsia="fr-BE"/>
              </w:rPr>
              <w:t>)</w:t>
            </w:r>
            <w:r w:rsidR="006A6AD1" w:rsidRPr="00272385">
              <w:rPr>
                <w:rFonts w:eastAsia="Times New Roman"/>
                <w:sz w:val="16"/>
                <w:szCs w:val="16"/>
                <w:lang w:val="en-GB" w:eastAsia="fr-BE"/>
              </w:rPr>
              <w:t xml:space="preserve"> cover all national climate and energy related actions </w:t>
            </w:r>
            <w:r w:rsidR="006A6AD1" w:rsidRPr="00272385">
              <w:rPr>
                <w:rFonts w:eastAsia="Times New Roman" w:cstheme="minorHAnsi"/>
                <w:sz w:val="16"/>
                <w:szCs w:val="16"/>
                <w:lang w:val="en-GB" w:eastAsia="fr-BE"/>
              </w:rPr>
              <w:t>which contribute to meeting the objectives of a country’s integrated national energy and climate plan (NECP).</w:t>
            </w:r>
          </w:p>
          <w:p w14:paraId="1FF9C1BC" w14:textId="325BCCB1" w:rsidR="00A945EF" w:rsidRPr="00272385" w:rsidRDefault="00E24AF5" w:rsidP="00006564">
            <w:pPr>
              <w:pStyle w:val="ListParagraph"/>
              <w:numPr>
                <w:ilvl w:val="0"/>
                <w:numId w:val="14"/>
              </w:num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Projections</w:t>
            </w:r>
            <w:r w:rsidR="00EA453B" w:rsidRPr="00272385">
              <w:rPr>
                <w:rFonts w:eastAsia="Times New Roman"/>
                <w:sz w:val="16"/>
                <w:szCs w:val="16"/>
                <w:lang w:val="en-GB" w:eastAsia="fr-BE"/>
              </w:rPr>
              <w:t xml:space="preserve"> of anthropogenic greenhouse gas emissions</w:t>
            </w:r>
            <w:r w:rsidR="00006564" w:rsidRPr="00272385">
              <w:rPr>
                <w:rFonts w:eastAsia="Times New Roman"/>
                <w:sz w:val="16"/>
                <w:szCs w:val="16"/>
                <w:lang w:val="en-GB" w:eastAsia="fr-BE"/>
              </w:rPr>
              <w:t>,</w:t>
            </w:r>
            <w:r w:rsidR="00EA453B" w:rsidRPr="00272385">
              <w:rPr>
                <w:rFonts w:eastAsia="Times New Roman"/>
                <w:sz w:val="16"/>
                <w:szCs w:val="16"/>
                <w:lang w:val="en-GB" w:eastAsia="fr-BE"/>
              </w:rPr>
              <w:t xml:space="preserve"> by sources and removals by sink</w:t>
            </w:r>
            <w:r w:rsidR="00006564" w:rsidRPr="00272385">
              <w:rPr>
                <w:rFonts w:eastAsia="Times New Roman"/>
                <w:sz w:val="16"/>
                <w:szCs w:val="16"/>
                <w:lang w:val="en-GB" w:eastAsia="fr-BE"/>
              </w:rPr>
              <w:t>, are the quantitative forecasts of greenhouse gas emissions removals</w:t>
            </w:r>
            <w:r w:rsidR="00B8192F" w:rsidRPr="00272385">
              <w:rPr>
                <w:rFonts w:eastAsia="Times New Roman"/>
                <w:sz w:val="16"/>
                <w:szCs w:val="16"/>
                <w:lang w:val="en-GB" w:eastAsia="fr-BE"/>
              </w:rPr>
              <w:t>. Every two years, it is mandatory for EU Member States to report their GHG projections by gas (or group of gases) and by sector</w:t>
            </w:r>
            <w:r w:rsidR="00006564" w:rsidRPr="00272385">
              <w:rPr>
                <w:rFonts w:eastAsia="Times New Roman"/>
                <w:sz w:val="16"/>
                <w:szCs w:val="16"/>
                <w:lang w:val="en-GB" w:eastAsia="fr-BE"/>
              </w:rPr>
              <w:t xml:space="preserve"> for at least six future years ending in 0 or 5</w:t>
            </w:r>
            <w:r w:rsidR="00A945EF" w:rsidRPr="00272385">
              <w:rPr>
                <w:rFonts w:eastAsia="Times New Roman"/>
                <w:sz w:val="16"/>
                <w:szCs w:val="16"/>
                <w:lang w:val="en-GB" w:eastAsia="fr-BE"/>
              </w:rPr>
              <w:t>.</w:t>
            </w:r>
          </w:p>
          <w:p w14:paraId="3AA2C738" w14:textId="77DBB52B" w:rsidR="00CD4001" w:rsidRPr="00272385" w:rsidRDefault="00850EFA" w:rsidP="3AA02AF9">
            <w:p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 xml:space="preserve">Further details on the concepts and definitions can be found in the </w:t>
            </w:r>
            <w:hyperlink r:id="rId14" w:history="1">
              <w:r w:rsidRPr="00272385">
                <w:rPr>
                  <w:rStyle w:val="Hyperlink"/>
                  <w:rFonts w:eastAsia="Times New Roman"/>
                  <w:sz w:val="16"/>
                  <w:szCs w:val="16"/>
                  <w:lang w:val="en-GB" w:eastAsia="fr-BE"/>
                </w:rPr>
                <w:t>reporting guidelines</w:t>
              </w:r>
            </w:hyperlink>
            <w:r w:rsidR="00FA2686" w:rsidRPr="00272385">
              <w:rPr>
                <w:rFonts w:eastAsia="Times New Roman"/>
                <w:sz w:val="16"/>
                <w:szCs w:val="16"/>
                <w:lang w:val="en-GB" w:eastAsia="fr-BE"/>
              </w:rPr>
              <w:t>.</w:t>
            </w:r>
          </w:p>
        </w:tc>
      </w:tr>
      <w:tr w:rsidR="00BD64EF" w:rsidRPr="00B56106" w14:paraId="3CF9C925" w14:textId="77777777" w:rsidTr="3779A2E1">
        <w:trPr>
          <w:trHeight w:val="675"/>
        </w:trPr>
        <w:tc>
          <w:tcPr>
            <w:tcW w:w="1273" w:type="dxa"/>
            <w:tcBorders>
              <w:left w:val="single" w:sz="12" w:space="0" w:color="5BAA9D" w:themeColor="accent1"/>
            </w:tcBorders>
            <w:vAlign w:val="center"/>
          </w:tcPr>
          <w:p w14:paraId="481D68BB"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2B479FAF" w14:textId="77777777" w:rsidR="00BD64EF" w:rsidRPr="00272385" w:rsidRDefault="00BD64EF" w:rsidP="004342A5">
            <w:pPr>
              <w:spacing w:beforeLines="10" w:before="24" w:afterLines="10" w:after="24"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Classifications used</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2CD45174" w14:textId="4FE74993" w:rsidR="007F7D2E" w:rsidRPr="00272385" w:rsidRDefault="007F7D2E" w:rsidP="004342A5">
            <w:pPr>
              <w:spacing w:beforeLines="10" w:before="24" w:afterLines="10" w:after="24" w:line="240" w:lineRule="auto"/>
              <w:rPr>
                <w:rFonts w:eastAsia="Times New Roman"/>
                <w:sz w:val="16"/>
                <w:szCs w:val="16"/>
                <w:lang w:val="en-GB" w:eastAsia="fr-BE"/>
              </w:rPr>
            </w:pPr>
            <w:r w:rsidRPr="00272385">
              <w:rPr>
                <w:rFonts w:eastAsia="Times New Roman"/>
                <w:sz w:val="16"/>
                <w:szCs w:val="16"/>
                <w:lang w:val="en-GB" w:eastAsia="fr-BE"/>
              </w:rPr>
              <w:t xml:space="preserve">The dataset contains only qualitative data, </w:t>
            </w:r>
            <w:r w:rsidR="00176E90" w:rsidRPr="00272385">
              <w:rPr>
                <w:rFonts w:eastAsia="Times New Roman"/>
                <w:sz w:val="16"/>
                <w:szCs w:val="16"/>
                <w:lang w:val="en-GB" w:eastAsia="fr-BE"/>
              </w:rPr>
              <w:t>and no unique classifications or characterisations are used.</w:t>
            </w:r>
          </w:p>
          <w:p w14:paraId="75C5B691" w14:textId="5152011A" w:rsidR="00BD64EF" w:rsidRPr="00272385" w:rsidRDefault="001D2655" w:rsidP="004342A5">
            <w:pPr>
              <w:spacing w:beforeLines="10" w:before="24" w:afterLines="10" w:after="24" w:line="240" w:lineRule="auto"/>
              <w:rPr>
                <w:rFonts w:eastAsia="Times New Roman"/>
                <w:i/>
                <w:iCs/>
                <w:color w:val="3C8EB2" w:themeColor="accent2"/>
                <w:sz w:val="16"/>
                <w:szCs w:val="16"/>
                <w:lang w:val="en-GB" w:eastAsia="fr-BE"/>
              </w:rPr>
            </w:pPr>
            <w:r w:rsidRPr="00272385">
              <w:rPr>
                <w:rFonts w:eastAsia="Times New Roman"/>
                <w:sz w:val="16"/>
                <w:szCs w:val="16"/>
                <w:lang w:val="en-GB" w:eastAsia="fr-BE"/>
              </w:rPr>
              <w:t xml:space="preserve">Further details on the concepts and definitions can be found in the </w:t>
            </w:r>
            <w:hyperlink r:id="rId15" w:history="1">
              <w:r w:rsidRPr="00272385">
                <w:rPr>
                  <w:rStyle w:val="Hyperlink"/>
                  <w:rFonts w:eastAsia="Times New Roman"/>
                  <w:sz w:val="16"/>
                  <w:szCs w:val="16"/>
                  <w:lang w:val="en-GB" w:eastAsia="fr-BE"/>
                </w:rPr>
                <w:t>reporting guidelines</w:t>
              </w:r>
            </w:hyperlink>
            <w:r w:rsidRPr="00272385">
              <w:rPr>
                <w:lang w:val="en-GB"/>
              </w:rPr>
              <w:t>.</w:t>
            </w:r>
          </w:p>
        </w:tc>
      </w:tr>
      <w:tr w:rsidR="00BD64EF" w:rsidRPr="00B56106" w14:paraId="268C8A1B" w14:textId="77777777" w:rsidTr="3779A2E1">
        <w:trPr>
          <w:trHeight w:val="675"/>
        </w:trPr>
        <w:tc>
          <w:tcPr>
            <w:tcW w:w="1273" w:type="dxa"/>
            <w:tcBorders>
              <w:left w:val="single" w:sz="12" w:space="0" w:color="5BAA9D" w:themeColor="accent1"/>
            </w:tcBorders>
            <w:vAlign w:val="center"/>
            <w:hideMark/>
          </w:tcPr>
          <w:p w14:paraId="55A65CA4" w14:textId="77777777" w:rsidR="00BD64EF" w:rsidRPr="00272385" w:rsidRDefault="00BD64EF" w:rsidP="00BD64EF">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nil"/>
            </w:tcBorders>
            <w:vAlign w:val="center"/>
            <w:hideMark/>
          </w:tcPr>
          <w:p w14:paraId="6A3CF55D" w14:textId="77777777" w:rsidR="00BD64EF" w:rsidRPr="00272385" w:rsidRDefault="00BD64EF" w:rsidP="004342A5">
            <w:pPr>
              <w:spacing w:beforeLines="10" w:before="24" w:afterLines="10" w:after="24"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 xml:space="preserve">Statistical Confidentiality </w:t>
            </w:r>
          </w:p>
        </w:tc>
        <w:tc>
          <w:tcPr>
            <w:tcW w:w="6982" w:type="dxa"/>
            <w:tcBorders>
              <w:top w:val="dotted" w:sz="4" w:space="0" w:color="428076" w:themeColor="accent1" w:themeShade="BF"/>
              <w:bottom w:val="nil"/>
              <w:right w:val="single" w:sz="12" w:space="0" w:color="5BAA9D" w:themeColor="accent1"/>
            </w:tcBorders>
            <w:vAlign w:val="center"/>
          </w:tcPr>
          <w:p w14:paraId="3F9DDF4E" w14:textId="5538297F" w:rsidR="009C5B97" w:rsidRPr="00272385" w:rsidRDefault="00C95A74" w:rsidP="004342A5">
            <w:pPr>
              <w:spacing w:beforeLines="10" w:before="24" w:afterLines="10" w:after="24" w:line="240" w:lineRule="auto"/>
              <w:rPr>
                <w:rFonts w:eastAsia="Times New Roman"/>
                <w:color w:val="3C8EB2" w:themeColor="accent2"/>
                <w:sz w:val="16"/>
                <w:szCs w:val="16"/>
                <w:lang w:val="en-GB" w:eastAsia="fr-BE"/>
              </w:rPr>
            </w:pPr>
            <w:r w:rsidRPr="00272385">
              <w:rPr>
                <w:rFonts w:eastAsia="Times New Roman"/>
                <w:sz w:val="16"/>
                <w:szCs w:val="16"/>
                <w:lang w:val="en-GB" w:eastAsia="fr-BE"/>
              </w:rPr>
              <w:t>D</w:t>
            </w:r>
            <w:r w:rsidR="00246006" w:rsidRPr="00272385">
              <w:rPr>
                <w:rFonts w:eastAsia="Times New Roman"/>
                <w:sz w:val="16"/>
                <w:szCs w:val="16"/>
                <w:lang w:val="en-GB" w:eastAsia="fr-BE"/>
              </w:rPr>
              <w:t>ata is</w:t>
            </w:r>
            <w:r w:rsidR="00783E49" w:rsidRPr="00272385">
              <w:rPr>
                <w:rFonts w:eastAsia="Times New Roman"/>
                <w:sz w:val="16"/>
                <w:szCs w:val="16"/>
                <w:lang w:val="en-GB" w:eastAsia="fr-BE"/>
              </w:rPr>
              <w:t xml:space="preserve"> required to be made publicly accessible, in accordance with the </w:t>
            </w:r>
            <w:hyperlink r:id="rId16" w:history="1">
              <w:r w:rsidR="00783E49" w:rsidRPr="00272385">
                <w:rPr>
                  <w:rStyle w:val="Hyperlink"/>
                  <w:rFonts w:eastAsia="Times New Roman"/>
                  <w:sz w:val="16"/>
                  <w:szCs w:val="16"/>
                  <w:lang w:val="en-GB" w:eastAsia="fr-BE"/>
                </w:rPr>
                <w:t>Governance Regulation 2018/1999</w:t>
              </w:r>
            </w:hyperlink>
            <w:r w:rsidR="00783E49" w:rsidRPr="00272385">
              <w:rPr>
                <w:rFonts w:eastAsia="Times New Roman"/>
                <w:sz w:val="16"/>
                <w:szCs w:val="16"/>
                <w:lang w:val="en-GB" w:eastAsia="fr-BE"/>
              </w:rPr>
              <w:t xml:space="preserve">, Article </w:t>
            </w:r>
            <w:r w:rsidR="00ED3E16" w:rsidRPr="00272385">
              <w:rPr>
                <w:rFonts w:eastAsia="Times New Roman"/>
                <w:sz w:val="16"/>
                <w:szCs w:val="16"/>
                <w:lang w:val="en-GB" w:eastAsia="fr-BE"/>
              </w:rPr>
              <w:t>28.</w:t>
            </w:r>
          </w:p>
        </w:tc>
      </w:tr>
      <w:tr w:rsidR="009A7DF8" w:rsidRPr="00272385" w14:paraId="0A3E2D50" w14:textId="77777777" w:rsidTr="3779A2E1">
        <w:trPr>
          <w:trHeight w:val="450"/>
        </w:trPr>
        <w:tc>
          <w:tcPr>
            <w:tcW w:w="1273" w:type="dxa"/>
            <w:tcBorders>
              <w:left w:val="single" w:sz="12" w:space="0" w:color="5BAA9D" w:themeColor="accent1"/>
              <w:bottom w:val="nil"/>
            </w:tcBorders>
            <w:shd w:val="clear" w:color="auto" w:fill="3C8EB2" w:themeFill="accent2"/>
            <w:vAlign w:val="center"/>
            <w:hideMark/>
          </w:tcPr>
          <w:p w14:paraId="789AEE52" w14:textId="77777777" w:rsidR="00E1647E" w:rsidRPr="00272385" w:rsidRDefault="00D7515C" w:rsidP="003003CA">
            <w:pPr>
              <w:spacing w:beforeLines="20" w:before="48" w:afterLines="20" w:after="48" w:line="240" w:lineRule="auto"/>
              <w:jc w:val="center"/>
              <w:rPr>
                <w:rFonts w:eastAsia="Times New Roman" w:cstheme="minorHAnsi"/>
                <w:b/>
                <w:bCs/>
                <w:color w:val="FFFFFF" w:themeColor="background1"/>
                <w:szCs w:val="20"/>
                <w:lang w:val="en-GB" w:eastAsia="fr-BE"/>
              </w:rPr>
            </w:pPr>
            <w:r w:rsidRPr="00272385">
              <w:rPr>
                <w:rFonts w:eastAsia="Times New Roman" w:cstheme="minorHAnsi"/>
                <w:b/>
                <w:bCs/>
                <w:color w:val="FFFFFF" w:themeColor="background1"/>
                <w:szCs w:val="20"/>
                <w:lang w:val="en-GB" w:eastAsia="fr-BE"/>
              </w:rPr>
              <w:t>B</w:t>
            </w:r>
          </w:p>
        </w:tc>
        <w:tc>
          <w:tcPr>
            <w:tcW w:w="2110" w:type="dxa"/>
            <w:gridSpan w:val="2"/>
            <w:tcBorders>
              <w:top w:val="nil"/>
              <w:bottom w:val="nil"/>
            </w:tcBorders>
            <w:shd w:val="clear" w:color="auto" w:fill="3C8EB2" w:themeFill="accent2"/>
            <w:vAlign w:val="center"/>
            <w:hideMark/>
          </w:tcPr>
          <w:p w14:paraId="6AB5A8B0" w14:textId="77777777" w:rsidR="00E1647E" w:rsidRPr="00272385" w:rsidRDefault="00D7515C" w:rsidP="003003CA">
            <w:pPr>
              <w:spacing w:beforeLines="20" w:before="48" w:afterLines="20" w:after="48" w:line="240" w:lineRule="auto"/>
              <w:rPr>
                <w:rFonts w:eastAsia="Times New Roman" w:cstheme="minorHAnsi"/>
                <w:b/>
                <w:bCs/>
                <w:color w:val="FFFFFF" w:themeColor="background1"/>
                <w:lang w:val="en-GB" w:eastAsia="fr-BE"/>
              </w:rPr>
            </w:pPr>
            <w:r w:rsidRPr="00272385">
              <w:rPr>
                <w:rFonts w:eastAsia="Times New Roman" w:cstheme="minorHAnsi"/>
                <w:b/>
                <w:bCs/>
                <w:color w:val="FFFFFF" w:themeColor="background1"/>
                <w:lang w:val="en-GB" w:eastAsia="fr-BE"/>
              </w:rPr>
              <w:t>Data quality</w:t>
            </w:r>
          </w:p>
        </w:tc>
        <w:tc>
          <w:tcPr>
            <w:tcW w:w="6982" w:type="dxa"/>
            <w:tcBorders>
              <w:top w:val="nil"/>
              <w:bottom w:val="nil"/>
              <w:right w:val="single" w:sz="12" w:space="0" w:color="5BAA9D" w:themeColor="accent1"/>
            </w:tcBorders>
            <w:shd w:val="clear" w:color="auto" w:fill="3C8EB2" w:themeFill="accent2"/>
            <w:vAlign w:val="center"/>
          </w:tcPr>
          <w:p w14:paraId="56154D2A" w14:textId="77777777" w:rsidR="00E1647E" w:rsidRPr="00272385" w:rsidRDefault="00E1647E" w:rsidP="003003CA">
            <w:pPr>
              <w:spacing w:beforeLines="20" w:before="48" w:afterLines="20" w:after="48" w:line="240" w:lineRule="auto"/>
              <w:rPr>
                <w:rFonts w:eastAsia="Times New Roman" w:cstheme="minorHAnsi"/>
                <w:color w:val="2C564F" w:themeColor="accent1" w:themeShade="80"/>
                <w:sz w:val="16"/>
                <w:szCs w:val="16"/>
                <w:lang w:val="en-GB" w:eastAsia="fr-BE"/>
              </w:rPr>
            </w:pPr>
          </w:p>
        </w:tc>
      </w:tr>
      <w:tr w:rsidR="00BD5FC7" w:rsidRPr="00B56106" w14:paraId="6451B803" w14:textId="77777777" w:rsidTr="3779A2E1">
        <w:trPr>
          <w:trHeight w:val="450"/>
        </w:trPr>
        <w:tc>
          <w:tcPr>
            <w:tcW w:w="1273" w:type="dxa"/>
            <w:tcBorders>
              <w:top w:val="nil"/>
              <w:left w:val="single" w:sz="12" w:space="0" w:color="5BAA9D" w:themeColor="accent1"/>
              <w:bottom w:val="nil"/>
            </w:tcBorders>
            <w:vAlign w:val="center"/>
          </w:tcPr>
          <w:p w14:paraId="0E5CFC81" w14:textId="77777777" w:rsidR="00BD5FC7" w:rsidRPr="00272385" w:rsidRDefault="00BD5FC7" w:rsidP="00BD5FC7">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nil"/>
              <w:bottom w:val="dotted" w:sz="4" w:space="0" w:color="428076" w:themeColor="accent1" w:themeShade="BF"/>
            </w:tcBorders>
            <w:vAlign w:val="center"/>
          </w:tcPr>
          <w:p w14:paraId="204F9B4F" w14:textId="543064ED" w:rsidR="009E2DCD" w:rsidRPr="00272385" w:rsidRDefault="00BD5FC7" w:rsidP="4B88D9B5">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Relevance</w:t>
            </w:r>
          </w:p>
        </w:tc>
        <w:tc>
          <w:tcPr>
            <w:tcW w:w="6982" w:type="dxa"/>
            <w:tcBorders>
              <w:top w:val="nil"/>
              <w:bottom w:val="dotted" w:sz="4" w:space="0" w:color="428076" w:themeColor="accent1" w:themeShade="BF"/>
              <w:right w:val="single" w:sz="12" w:space="0" w:color="5BAA9D" w:themeColor="accent1"/>
            </w:tcBorders>
            <w:vAlign w:val="center"/>
          </w:tcPr>
          <w:p w14:paraId="29923D4F" w14:textId="616396BE" w:rsidR="007B457F" w:rsidRPr="00272385" w:rsidRDefault="0099168F" w:rsidP="0390F0F0">
            <w:p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 xml:space="preserve">The dataset presents the </w:t>
            </w:r>
            <w:r w:rsidR="00AB3A0C" w:rsidRPr="00272385">
              <w:rPr>
                <w:rFonts w:eastAsia="Times New Roman"/>
                <w:sz w:val="16"/>
                <w:szCs w:val="16"/>
                <w:lang w:val="en-GB" w:eastAsia="fr-BE"/>
              </w:rPr>
              <w:t>established national systems</w:t>
            </w:r>
            <w:r w:rsidR="00660FAF" w:rsidRPr="00272385">
              <w:rPr>
                <w:rFonts w:eastAsia="Times New Roman"/>
                <w:sz w:val="16"/>
                <w:szCs w:val="16"/>
                <w:lang w:val="en-GB" w:eastAsia="fr-BE"/>
              </w:rPr>
              <w:t xml:space="preserve"> for reporting on policies and measures and for reporting on projections of anthropogenic greenhouse gas emissions by sources and removals by sink.</w:t>
            </w:r>
            <w:r w:rsidR="009761CC" w:rsidRPr="00272385">
              <w:rPr>
                <w:rFonts w:eastAsia="Times New Roman"/>
                <w:sz w:val="16"/>
                <w:szCs w:val="16"/>
                <w:lang w:val="en-GB" w:eastAsia="fr-BE"/>
              </w:rPr>
              <w:t xml:space="preserve"> National systems serve as the backbone for planning, monitoring, and reporting processes, aligning national efforts with global and European targets.</w:t>
            </w:r>
            <w:r w:rsidR="000C3D22" w:rsidRPr="00272385">
              <w:rPr>
                <w:rFonts w:eastAsia="Times New Roman"/>
                <w:sz w:val="16"/>
                <w:szCs w:val="16"/>
                <w:lang w:val="en-GB" w:eastAsia="fr-BE"/>
              </w:rPr>
              <w:t xml:space="preserve"> </w:t>
            </w:r>
            <w:r w:rsidR="0058362E" w:rsidRPr="00272385">
              <w:rPr>
                <w:rFonts w:eastAsia="Times New Roman"/>
                <w:sz w:val="16"/>
                <w:szCs w:val="16"/>
                <w:lang w:val="en-GB" w:eastAsia="fr-BE"/>
              </w:rPr>
              <w:t xml:space="preserve">Users wanting to understand the </w:t>
            </w:r>
            <w:r w:rsidR="000C3D22" w:rsidRPr="00272385">
              <w:rPr>
                <w:rFonts w:eastAsia="Times New Roman"/>
                <w:sz w:val="16"/>
                <w:szCs w:val="16"/>
                <w:lang w:val="en-GB" w:eastAsia="fr-BE"/>
              </w:rPr>
              <w:t xml:space="preserve">monitoring and reporting mechanisms, which are essential components of climate and energy governance, </w:t>
            </w:r>
            <w:r w:rsidR="0058362E" w:rsidRPr="00272385">
              <w:rPr>
                <w:rFonts w:eastAsia="Times New Roman"/>
                <w:sz w:val="16"/>
                <w:szCs w:val="16"/>
                <w:lang w:val="en-GB" w:eastAsia="fr-BE"/>
              </w:rPr>
              <w:t xml:space="preserve">by their Member State </w:t>
            </w:r>
            <w:r w:rsidR="007B457F" w:rsidRPr="00272385">
              <w:rPr>
                <w:rFonts w:eastAsia="Times New Roman"/>
                <w:sz w:val="16"/>
                <w:szCs w:val="16"/>
                <w:lang w:val="en-GB" w:eastAsia="fr-BE"/>
              </w:rPr>
              <w:t>can dig further into their information in one comprehensive dataset.</w:t>
            </w:r>
          </w:p>
          <w:p w14:paraId="2707A9F5" w14:textId="5C8BD923" w:rsidR="005255D0" w:rsidRPr="00272385" w:rsidRDefault="00CE7FEA" w:rsidP="0390F0F0">
            <w:p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 xml:space="preserve">The dataset can be considered relatively complete regarding </w:t>
            </w:r>
            <w:r w:rsidR="005E1354" w:rsidRPr="00272385">
              <w:rPr>
                <w:rFonts w:eastAsia="Times New Roman"/>
                <w:sz w:val="16"/>
                <w:szCs w:val="16"/>
                <w:lang w:val="en-GB" w:eastAsia="fr-BE"/>
              </w:rPr>
              <w:t xml:space="preserve">institutional, legal, and procedural arrangements </w:t>
            </w:r>
            <w:r w:rsidRPr="00272385">
              <w:rPr>
                <w:rFonts w:eastAsia="Times New Roman"/>
                <w:sz w:val="16"/>
                <w:szCs w:val="16"/>
                <w:lang w:val="en-GB" w:eastAsia="fr-BE"/>
              </w:rPr>
              <w:t xml:space="preserve">reported by countries. </w:t>
            </w:r>
          </w:p>
          <w:p w14:paraId="2905F340" w14:textId="6B4E898B" w:rsidR="005255D0" w:rsidRPr="00272385" w:rsidRDefault="005255D0" w:rsidP="10F3BC02">
            <w:pPr>
              <w:spacing w:beforeLines="20" w:before="48" w:afterLines="20" w:after="48" w:line="240" w:lineRule="auto"/>
              <w:rPr>
                <w:rFonts w:eastAsia="Times New Roman"/>
                <w:color w:val="3C8EB2" w:themeColor="accent2"/>
                <w:sz w:val="16"/>
                <w:szCs w:val="16"/>
                <w:lang w:val="en-GB" w:eastAsia="fr-BE"/>
              </w:rPr>
            </w:pPr>
            <w:r w:rsidRPr="00272385">
              <w:rPr>
                <w:rFonts w:eastAsia="Times New Roman"/>
                <w:sz w:val="16"/>
                <w:szCs w:val="16"/>
                <w:lang w:val="en-GB" w:eastAsia="fr-BE"/>
              </w:rPr>
              <w:t>There is currently no user satisfaction conducted on the dataset</w:t>
            </w:r>
            <w:r w:rsidR="00C023AB" w:rsidRPr="00272385">
              <w:rPr>
                <w:rFonts w:eastAsia="Times New Roman"/>
                <w:sz w:val="16"/>
                <w:szCs w:val="16"/>
                <w:lang w:val="en-GB" w:eastAsia="fr-BE"/>
              </w:rPr>
              <w:t>. H</w:t>
            </w:r>
            <w:r w:rsidRPr="00272385">
              <w:rPr>
                <w:rFonts w:eastAsia="Times New Roman"/>
                <w:sz w:val="16"/>
                <w:szCs w:val="16"/>
                <w:lang w:val="en-GB" w:eastAsia="fr-BE"/>
              </w:rPr>
              <w:t>owever</w:t>
            </w:r>
            <w:r w:rsidR="00C023AB" w:rsidRPr="00272385">
              <w:rPr>
                <w:rFonts w:eastAsia="Times New Roman"/>
                <w:sz w:val="16"/>
                <w:szCs w:val="16"/>
                <w:lang w:val="en-GB" w:eastAsia="fr-BE"/>
              </w:rPr>
              <w:t>,</w:t>
            </w:r>
            <w:r w:rsidRPr="00272385">
              <w:rPr>
                <w:rFonts w:eastAsia="Times New Roman"/>
                <w:sz w:val="16"/>
                <w:szCs w:val="16"/>
                <w:lang w:val="en-GB" w:eastAsia="fr-BE"/>
              </w:rPr>
              <w:t xml:space="preserve"> discussions with Member States are </w:t>
            </w:r>
            <w:r w:rsidR="0069426F" w:rsidRPr="00272385">
              <w:rPr>
                <w:rFonts w:eastAsia="Times New Roman"/>
                <w:sz w:val="16"/>
                <w:szCs w:val="16"/>
                <w:lang w:val="en-GB" w:eastAsia="fr-BE"/>
              </w:rPr>
              <w:t xml:space="preserve">held regularly in Working Group Meetings of the Climate Change Committee. </w:t>
            </w:r>
            <w:r w:rsidR="3183FB4F" w:rsidRPr="00272385">
              <w:rPr>
                <w:rFonts w:eastAsia="Times New Roman"/>
                <w:sz w:val="16"/>
                <w:szCs w:val="16"/>
                <w:lang w:val="en-GB" w:eastAsia="fr-BE"/>
              </w:rPr>
              <w:t>Additionally,</w:t>
            </w:r>
            <w:r w:rsidR="0069426F" w:rsidRPr="00272385">
              <w:rPr>
                <w:rFonts w:eastAsia="Times New Roman"/>
                <w:sz w:val="16"/>
                <w:szCs w:val="16"/>
                <w:lang w:val="en-GB" w:eastAsia="fr-BE"/>
              </w:rPr>
              <w:t xml:space="preserve"> the EEA </w:t>
            </w:r>
            <w:r w:rsidR="00E3435A" w:rsidRPr="00272385">
              <w:rPr>
                <w:rFonts w:eastAsia="Times New Roman"/>
                <w:sz w:val="16"/>
                <w:szCs w:val="16"/>
                <w:lang w:val="en-GB" w:eastAsia="fr-BE"/>
              </w:rPr>
              <w:t xml:space="preserve">regularly </w:t>
            </w:r>
            <w:r w:rsidR="0069426F" w:rsidRPr="00272385">
              <w:rPr>
                <w:rFonts w:eastAsia="Times New Roman"/>
                <w:sz w:val="16"/>
                <w:szCs w:val="16"/>
                <w:lang w:val="en-GB" w:eastAsia="fr-BE"/>
              </w:rPr>
              <w:t>responds to enquiries on this dataset and related products.</w:t>
            </w:r>
          </w:p>
        </w:tc>
      </w:tr>
      <w:tr w:rsidR="00BD5FC7" w:rsidRPr="00B56106" w14:paraId="17DC031C" w14:textId="77777777" w:rsidTr="3779A2E1">
        <w:trPr>
          <w:trHeight w:val="450"/>
        </w:trPr>
        <w:tc>
          <w:tcPr>
            <w:tcW w:w="1273" w:type="dxa"/>
            <w:tcBorders>
              <w:top w:val="nil"/>
              <w:left w:val="single" w:sz="12" w:space="0" w:color="5BAA9D" w:themeColor="accent1"/>
              <w:bottom w:val="nil"/>
            </w:tcBorders>
            <w:vAlign w:val="center"/>
          </w:tcPr>
          <w:p w14:paraId="2E0D3C28" w14:textId="77777777" w:rsidR="00BD5FC7" w:rsidRPr="00272385" w:rsidRDefault="00BD5FC7" w:rsidP="00BD5FC7">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5D50A5DA" w14:textId="77777777" w:rsidR="009E2DCD" w:rsidRPr="00272385" w:rsidRDefault="61924CA1" w:rsidP="4B88D9B5">
            <w:pPr>
              <w:spacing w:beforeLines="20" w:before="48" w:afterLines="20" w:after="48" w:line="240" w:lineRule="auto"/>
              <w:rPr>
                <w:rFonts w:ascii="Calibri" w:eastAsia="Calibri" w:hAnsi="Calibri" w:cs="Calibri"/>
                <w:color w:val="000000" w:themeColor="text1"/>
                <w:sz w:val="18"/>
                <w:szCs w:val="18"/>
                <w:lang w:val="en-GB"/>
              </w:rPr>
            </w:pPr>
            <w:r w:rsidRPr="00272385">
              <w:rPr>
                <w:rFonts w:ascii="Calibri" w:eastAsia="Calibri" w:hAnsi="Calibri" w:cs="Calibri"/>
                <w:color w:val="000000" w:themeColor="text1"/>
                <w:sz w:val="18"/>
                <w:szCs w:val="18"/>
                <w:lang w:val="en-GB"/>
              </w:rPr>
              <w:t>Timeliness</w:t>
            </w:r>
          </w:p>
          <w:p w14:paraId="4CC9A80B" w14:textId="7C039E22" w:rsidR="009E2DCD" w:rsidRPr="00272385" w:rsidRDefault="61924CA1" w:rsidP="4B88D9B5">
            <w:pPr>
              <w:spacing w:beforeLines="20" w:before="48" w:afterLines="20" w:after="48" w:line="240" w:lineRule="auto"/>
              <w:rPr>
                <w:rFonts w:ascii="Calibri" w:eastAsia="Calibri" w:hAnsi="Calibri" w:cs="Calibri"/>
                <w:color w:val="000000" w:themeColor="text1"/>
                <w:sz w:val="14"/>
                <w:szCs w:val="14"/>
                <w:lang w:val="en-GB"/>
              </w:rPr>
            </w:pPr>
            <w:r w:rsidRPr="00272385">
              <w:rPr>
                <w:rFonts w:ascii="Calibri" w:eastAsia="Calibri" w:hAnsi="Calibri" w:cs="Calibri"/>
                <w:i/>
                <w:iCs/>
                <w:color w:val="000000" w:themeColor="text1"/>
                <w:sz w:val="14"/>
                <w:szCs w:val="14"/>
                <w:lang w:val="en-GB"/>
              </w:rPr>
              <w:t>Length of time between data availability and the event or phenomenon they describe</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4D97A98A" w14:textId="70A36FB0" w:rsidR="0069426F" w:rsidRPr="00272385" w:rsidRDefault="00B02A8A" w:rsidP="10F3BC02">
            <w:pPr>
              <w:spacing w:beforeLines="20" w:before="48" w:afterLines="20" w:after="48" w:line="240" w:lineRule="auto"/>
              <w:rPr>
                <w:rFonts w:eastAsia="Times New Roman"/>
                <w:b/>
                <w:bCs/>
                <w:sz w:val="16"/>
                <w:szCs w:val="16"/>
                <w:lang w:val="en-GB" w:eastAsia="fr-BE"/>
              </w:rPr>
            </w:pPr>
            <w:r w:rsidRPr="00272385">
              <w:rPr>
                <w:rFonts w:eastAsia="Times New Roman"/>
                <w:b/>
                <w:bCs/>
                <w:sz w:val="16"/>
                <w:szCs w:val="16"/>
                <w:lang w:val="en-GB" w:eastAsia="fr-BE"/>
              </w:rPr>
              <w:t>T+1 year</w:t>
            </w:r>
          </w:p>
          <w:p w14:paraId="6F407BD8" w14:textId="33292CCE" w:rsidR="00B02A8A" w:rsidRPr="00272385" w:rsidRDefault="004A1651" w:rsidP="00317788">
            <w:pPr>
              <w:spacing w:beforeLines="20" w:before="48" w:afterLines="20" w:after="48" w:line="240" w:lineRule="auto"/>
              <w:rPr>
                <w:rFonts w:eastAsia="Times New Roman" w:cstheme="minorHAnsi"/>
                <w:sz w:val="16"/>
                <w:szCs w:val="16"/>
                <w:lang w:val="en-GB" w:eastAsia="fr-BE"/>
              </w:rPr>
            </w:pPr>
            <w:r w:rsidRPr="00272385">
              <w:rPr>
                <w:rFonts w:eastAsia="Times New Roman" w:cstheme="minorHAnsi"/>
                <w:sz w:val="16"/>
                <w:szCs w:val="16"/>
                <w:lang w:val="en-GB" w:eastAsia="fr-BE"/>
              </w:rPr>
              <w:t>Data had to be reported by 15 March, 2021</w:t>
            </w:r>
            <w:r w:rsidR="00337D8A" w:rsidRPr="00272385">
              <w:rPr>
                <w:rFonts w:eastAsia="Times New Roman" w:cstheme="minorHAnsi"/>
                <w:sz w:val="16"/>
                <w:szCs w:val="16"/>
                <w:lang w:val="en-GB" w:eastAsia="fr-BE"/>
              </w:rPr>
              <w:t xml:space="preserve"> and in subsequent reporting years data is reported if there have been modifications of the national system for policies and measures and projections</w:t>
            </w:r>
            <w:r w:rsidR="00766777" w:rsidRPr="00272385">
              <w:rPr>
                <w:rFonts w:eastAsia="Times New Roman" w:cstheme="minorHAnsi"/>
                <w:sz w:val="16"/>
                <w:szCs w:val="16"/>
                <w:lang w:val="en-GB" w:eastAsia="fr-BE"/>
              </w:rPr>
              <w:t xml:space="preserve"> (Article 39 Governance Regulation). </w:t>
            </w:r>
            <w:r w:rsidR="00B02A8A" w:rsidRPr="00272385">
              <w:rPr>
                <w:rFonts w:eastAsia="Times New Roman" w:cstheme="minorHAnsi"/>
                <w:sz w:val="16"/>
                <w:szCs w:val="16"/>
                <w:lang w:val="en-GB" w:eastAsia="fr-BE"/>
              </w:rPr>
              <w:t xml:space="preserve">Quality checking procedures are undertaken until </w:t>
            </w:r>
            <w:r w:rsidR="00B3071D" w:rsidRPr="00272385">
              <w:rPr>
                <w:rFonts w:eastAsia="Times New Roman" w:cstheme="minorHAnsi"/>
                <w:sz w:val="16"/>
                <w:szCs w:val="16"/>
                <w:lang w:val="en-GB" w:eastAsia="fr-BE"/>
              </w:rPr>
              <w:t>summer</w:t>
            </w:r>
            <w:r w:rsidR="005D0D9B" w:rsidRPr="00272385">
              <w:rPr>
                <w:rFonts w:eastAsia="Times New Roman" w:cstheme="minorHAnsi"/>
                <w:sz w:val="16"/>
                <w:szCs w:val="16"/>
                <w:lang w:val="en-GB" w:eastAsia="fr-BE"/>
              </w:rPr>
              <w:t xml:space="preserve"> and final datasets are prepared and made available in early autumn. </w:t>
            </w:r>
          </w:p>
        </w:tc>
      </w:tr>
      <w:tr w:rsidR="00BD5FC7" w:rsidRPr="00B56106" w14:paraId="0E8295F4" w14:textId="77777777" w:rsidTr="3779A2E1">
        <w:trPr>
          <w:trHeight w:val="450"/>
        </w:trPr>
        <w:tc>
          <w:tcPr>
            <w:tcW w:w="1273" w:type="dxa"/>
            <w:tcBorders>
              <w:top w:val="nil"/>
              <w:left w:val="single" w:sz="12" w:space="0" w:color="5BAA9D" w:themeColor="accent1"/>
              <w:bottom w:val="nil"/>
            </w:tcBorders>
            <w:vAlign w:val="center"/>
          </w:tcPr>
          <w:p w14:paraId="6E70038A" w14:textId="77777777" w:rsidR="00BD5FC7" w:rsidRPr="00272385" w:rsidRDefault="00BD5FC7" w:rsidP="00BD5FC7">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5A44B214" w14:textId="77777777" w:rsidR="00BD5FC7" w:rsidRPr="00272385" w:rsidRDefault="00BD5FC7" w:rsidP="00BD5FC7">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Accuracy and reliability</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10B48E5A" w14:textId="7B35B52C" w:rsidR="008173AD" w:rsidRPr="00272385" w:rsidRDefault="008173AD" w:rsidP="0390F0F0">
            <w:pPr>
              <w:spacing w:beforeLines="20" w:before="48" w:afterLines="20" w:after="48" w:line="240" w:lineRule="auto"/>
              <w:rPr>
                <w:rFonts w:eastAsia="Times New Roman"/>
                <w:sz w:val="16"/>
                <w:szCs w:val="16"/>
                <w:lang w:val="en-GB" w:eastAsia="fr-BE"/>
              </w:rPr>
            </w:pPr>
            <w:r w:rsidRPr="00272385">
              <w:rPr>
                <w:rFonts w:eastAsia="Times New Roman"/>
                <w:b/>
                <w:bCs/>
                <w:sz w:val="16"/>
                <w:szCs w:val="16"/>
                <w:lang w:val="en-GB" w:eastAsia="fr-BE"/>
              </w:rPr>
              <w:t>Source data – national administration</w:t>
            </w:r>
            <w:r w:rsidR="7909988D" w:rsidRPr="00272385">
              <w:rPr>
                <w:rFonts w:eastAsia="Times New Roman"/>
                <w:b/>
                <w:bCs/>
                <w:sz w:val="16"/>
                <w:szCs w:val="16"/>
                <w:lang w:val="en-GB" w:eastAsia="fr-BE"/>
              </w:rPr>
              <w:t xml:space="preserve">: </w:t>
            </w:r>
            <w:r w:rsidRPr="00272385">
              <w:rPr>
                <w:rFonts w:eastAsia="Times New Roman"/>
                <w:sz w:val="16"/>
                <w:szCs w:val="16"/>
                <w:lang w:val="en-GB" w:eastAsia="fr-BE"/>
              </w:rPr>
              <w:t xml:space="preserve">Data is </w:t>
            </w:r>
            <w:r w:rsidR="002F28E2" w:rsidRPr="00272385">
              <w:rPr>
                <w:rFonts w:eastAsia="Times New Roman"/>
                <w:sz w:val="16"/>
                <w:szCs w:val="16"/>
                <w:lang w:val="en-GB" w:eastAsia="fr-BE"/>
              </w:rPr>
              <w:t xml:space="preserve">officially reported </w:t>
            </w:r>
            <w:r w:rsidRPr="00272385">
              <w:rPr>
                <w:rFonts w:eastAsia="Times New Roman"/>
                <w:sz w:val="16"/>
                <w:szCs w:val="16"/>
                <w:lang w:val="en-GB" w:eastAsia="fr-BE"/>
              </w:rPr>
              <w:t>by national administrations</w:t>
            </w:r>
            <w:r w:rsidR="000F15D5" w:rsidRPr="00272385">
              <w:rPr>
                <w:rFonts w:eastAsia="Times New Roman"/>
                <w:sz w:val="16"/>
                <w:szCs w:val="16"/>
                <w:lang w:val="en-GB" w:eastAsia="fr-BE"/>
              </w:rPr>
              <w:t xml:space="preserve"> on their national </w:t>
            </w:r>
            <w:r w:rsidR="004249EA" w:rsidRPr="00272385">
              <w:rPr>
                <w:rFonts w:eastAsia="Times New Roman"/>
                <w:sz w:val="16"/>
                <w:szCs w:val="16"/>
                <w:lang w:val="en-GB" w:eastAsia="fr-BE"/>
              </w:rPr>
              <w:t>systems</w:t>
            </w:r>
            <w:r w:rsidR="000F15D5" w:rsidRPr="00272385">
              <w:rPr>
                <w:rFonts w:eastAsia="Times New Roman"/>
                <w:sz w:val="16"/>
                <w:szCs w:val="16"/>
                <w:lang w:val="en-GB" w:eastAsia="fr-BE"/>
              </w:rPr>
              <w:t xml:space="preserve">. </w:t>
            </w:r>
          </w:p>
          <w:p w14:paraId="30036D3D" w14:textId="7C7274FB" w:rsidR="000F15D5" w:rsidRPr="00272385" w:rsidRDefault="000F15D5" w:rsidP="0390F0F0">
            <w:pPr>
              <w:spacing w:beforeLines="20" w:before="48" w:afterLines="20" w:after="48" w:line="240" w:lineRule="auto"/>
              <w:rPr>
                <w:rFonts w:eastAsia="Times New Roman"/>
                <w:sz w:val="16"/>
                <w:szCs w:val="16"/>
                <w:lang w:val="en-GB" w:eastAsia="fr-BE"/>
              </w:rPr>
            </w:pPr>
            <w:r w:rsidRPr="00272385">
              <w:rPr>
                <w:rFonts w:eastAsia="Times New Roman"/>
                <w:b/>
                <w:bCs/>
                <w:sz w:val="16"/>
                <w:szCs w:val="16"/>
                <w:lang w:val="en-GB" w:eastAsia="fr-BE"/>
              </w:rPr>
              <w:t>Data collection and methods used</w:t>
            </w:r>
            <w:r w:rsidR="6FB855DD" w:rsidRPr="00272385">
              <w:rPr>
                <w:rFonts w:eastAsia="Times New Roman"/>
                <w:b/>
                <w:bCs/>
                <w:sz w:val="16"/>
                <w:szCs w:val="16"/>
                <w:lang w:val="en-GB" w:eastAsia="fr-BE"/>
              </w:rPr>
              <w:t xml:space="preserve">: </w:t>
            </w:r>
            <w:r w:rsidRPr="00272385">
              <w:rPr>
                <w:rFonts w:eastAsia="Times New Roman"/>
                <w:sz w:val="16"/>
                <w:szCs w:val="16"/>
                <w:lang w:val="en-GB" w:eastAsia="fr-BE"/>
              </w:rPr>
              <w:t xml:space="preserve">Data is collected from national authorities </w:t>
            </w:r>
            <w:r w:rsidR="007F1638" w:rsidRPr="00272385">
              <w:rPr>
                <w:rFonts w:eastAsia="Times New Roman"/>
                <w:sz w:val="16"/>
                <w:szCs w:val="16"/>
                <w:lang w:val="en-GB" w:eastAsia="fr-BE"/>
              </w:rPr>
              <w:t>via</w:t>
            </w:r>
            <w:r w:rsidRPr="00272385">
              <w:rPr>
                <w:rFonts w:eastAsia="Times New Roman"/>
                <w:sz w:val="16"/>
                <w:szCs w:val="16"/>
                <w:lang w:val="en-GB" w:eastAsia="fr-BE"/>
              </w:rPr>
              <w:t xml:space="preserve"> the EEA’s survey tool </w:t>
            </w:r>
            <w:hyperlink r:id="rId17" w:history="1">
              <w:proofErr w:type="spellStart"/>
              <w:r w:rsidRPr="00272385">
                <w:rPr>
                  <w:rStyle w:val="Hyperlink"/>
                  <w:rFonts w:eastAsia="Times New Roman"/>
                  <w:sz w:val="16"/>
                  <w:szCs w:val="16"/>
                  <w:lang w:val="en-GB" w:eastAsia="fr-BE"/>
                </w:rPr>
                <w:t>Reportnet</w:t>
              </w:r>
              <w:proofErr w:type="spellEnd"/>
              <w:r w:rsidRPr="00272385">
                <w:rPr>
                  <w:rStyle w:val="Hyperlink"/>
                  <w:rFonts w:eastAsia="Times New Roman"/>
                  <w:sz w:val="16"/>
                  <w:szCs w:val="16"/>
                  <w:lang w:val="en-GB" w:eastAsia="fr-BE"/>
                </w:rPr>
                <w:t xml:space="preserve"> 3</w:t>
              </w:r>
            </w:hyperlink>
            <w:r w:rsidRPr="00272385">
              <w:rPr>
                <w:rFonts w:eastAsia="Times New Roman"/>
                <w:sz w:val="16"/>
                <w:szCs w:val="16"/>
                <w:lang w:val="en-GB" w:eastAsia="fr-BE"/>
              </w:rPr>
              <w:t>. Once reported</w:t>
            </w:r>
            <w:r w:rsidR="007F1638" w:rsidRPr="00272385">
              <w:rPr>
                <w:rFonts w:eastAsia="Times New Roman"/>
                <w:sz w:val="16"/>
                <w:szCs w:val="16"/>
                <w:lang w:val="en-GB" w:eastAsia="fr-BE"/>
              </w:rPr>
              <w:t>,</w:t>
            </w:r>
            <w:r w:rsidRPr="00272385">
              <w:rPr>
                <w:rFonts w:eastAsia="Times New Roman"/>
                <w:sz w:val="16"/>
                <w:szCs w:val="16"/>
                <w:lang w:val="en-GB" w:eastAsia="fr-BE"/>
              </w:rPr>
              <w:t xml:space="preserve"> the EEA and its European Topic Centre</w:t>
            </w:r>
            <w:r w:rsidR="009E2DCD" w:rsidRPr="00272385">
              <w:rPr>
                <w:rStyle w:val="FootnoteReference"/>
                <w:rFonts w:eastAsia="Times New Roman"/>
                <w:sz w:val="16"/>
                <w:szCs w:val="16"/>
                <w:lang w:val="en-GB" w:eastAsia="fr-BE"/>
              </w:rPr>
              <w:footnoteReference w:id="2"/>
            </w:r>
            <w:r w:rsidR="00A24DF2" w:rsidRPr="00272385">
              <w:rPr>
                <w:rFonts w:eastAsia="Times New Roman"/>
                <w:sz w:val="16"/>
                <w:szCs w:val="16"/>
                <w:lang w:val="en-GB" w:eastAsia="fr-BE"/>
              </w:rPr>
              <w:t xml:space="preserve"> </w:t>
            </w:r>
            <w:r w:rsidR="74B622CE" w:rsidRPr="00272385">
              <w:rPr>
                <w:rFonts w:eastAsia="Times New Roman"/>
                <w:sz w:val="16"/>
                <w:szCs w:val="16"/>
                <w:lang w:val="en-GB" w:eastAsia="fr-BE"/>
              </w:rPr>
              <w:t>C</w:t>
            </w:r>
            <w:r w:rsidR="00A24DF2" w:rsidRPr="00272385">
              <w:rPr>
                <w:rFonts w:eastAsia="Times New Roman"/>
                <w:sz w:val="16"/>
                <w:szCs w:val="16"/>
                <w:lang w:val="en-GB" w:eastAsia="fr-BE"/>
              </w:rPr>
              <w:t xml:space="preserve">limate </w:t>
            </w:r>
            <w:r w:rsidR="4A35A5C7" w:rsidRPr="00272385">
              <w:rPr>
                <w:rFonts w:eastAsia="Times New Roman"/>
                <w:sz w:val="16"/>
                <w:szCs w:val="16"/>
                <w:lang w:val="en-GB" w:eastAsia="fr-BE"/>
              </w:rPr>
              <w:t>c</w:t>
            </w:r>
            <w:r w:rsidR="00A24DF2" w:rsidRPr="00272385">
              <w:rPr>
                <w:rFonts w:eastAsia="Times New Roman"/>
                <w:sz w:val="16"/>
                <w:szCs w:val="16"/>
                <w:lang w:val="en-GB" w:eastAsia="fr-BE"/>
              </w:rPr>
              <w:t xml:space="preserve">hange </w:t>
            </w:r>
            <w:r w:rsidR="53B8FB48" w:rsidRPr="00272385">
              <w:rPr>
                <w:rFonts w:eastAsia="Times New Roman"/>
                <w:sz w:val="16"/>
                <w:szCs w:val="16"/>
                <w:lang w:val="en-GB" w:eastAsia="fr-BE"/>
              </w:rPr>
              <w:t>M</w:t>
            </w:r>
            <w:r w:rsidR="00A24DF2" w:rsidRPr="00272385">
              <w:rPr>
                <w:rFonts w:eastAsia="Times New Roman"/>
                <w:sz w:val="16"/>
                <w:szCs w:val="16"/>
                <w:lang w:val="en-GB" w:eastAsia="fr-BE"/>
              </w:rPr>
              <w:t>itigation</w:t>
            </w:r>
            <w:r w:rsidR="1A240D68" w:rsidRPr="00272385">
              <w:rPr>
                <w:rFonts w:eastAsia="Times New Roman"/>
                <w:sz w:val="16"/>
                <w:szCs w:val="16"/>
                <w:lang w:val="en-GB" w:eastAsia="fr-BE"/>
              </w:rPr>
              <w:t xml:space="preserve"> (ETC-CM)</w:t>
            </w:r>
            <w:r w:rsidRPr="00272385">
              <w:rPr>
                <w:rFonts w:eastAsia="Times New Roman"/>
                <w:sz w:val="16"/>
                <w:szCs w:val="16"/>
                <w:lang w:val="en-GB" w:eastAsia="fr-BE"/>
              </w:rPr>
              <w:t xml:space="preserve"> quality check the data </w:t>
            </w:r>
            <w:r w:rsidR="00664EF8" w:rsidRPr="00272385">
              <w:rPr>
                <w:rFonts w:eastAsia="Times New Roman"/>
                <w:sz w:val="16"/>
                <w:szCs w:val="16"/>
                <w:lang w:val="en-GB" w:eastAsia="fr-BE"/>
              </w:rPr>
              <w:t>against three criteria: transparency, completeness, and timeliness</w:t>
            </w:r>
            <w:r w:rsidR="009616F4" w:rsidRPr="00272385">
              <w:rPr>
                <w:rFonts w:eastAsia="Times New Roman"/>
                <w:sz w:val="16"/>
                <w:szCs w:val="16"/>
                <w:lang w:val="en-GB" w:eastAsia="fr-BE"/>
              </w:rPr>
              <w:t>. All updates to</w:t>
            </w:r>
            <w:r w:rsidR="00EB6A27" w:rsidRPr="00272385">
              <w:rPr>
                <w:rFonts w:eastAsia="Times New Roman"/>
                <w:sz w:val="16"/>
                <w:szCs w:val="16"/>
                <w:lang w:val="en-GB" w:eastAsia="fr-BE"/>
              </w:rPr>
              <w:t xml:space="preserve"> the</w:t>
            </w:r>
            <w:r w:rsidR="009616F4" w:rsidRPr="00272385">
              <w:rPr>
                <w:rFonts w:eastAsia="Times New Roman"/>
                <w:sz w:val="16"/>
                <w:szCs w:val="16"/>
                <w:lang w:val="en-GB" w:eastAsia="fr-BE"/>
              </w:rPr>
              <w:t xml:space="preserve"> data require the Member State to resubmit data in agreement with the EEA</w:t>
            </w:r>
            <w:r w:rsidR="00B80875" w:rsidRPr="00272385">
              <w:rPr>
                <w:rFonts w:eastAsia="Times New Roman"/>
                <w:sz w:val="16"/>
                <w:szCs w:val="16"/>
                <w:lang w:val="en-GB" w:eastAsia="fr-BE"/>
              </w:rPr>
              <w:t>. T</w:t>
            </w:r>
            <w:r w:rsidR="009616F4" w:rsidRPr="00272385">
              <w:rPr>
                <w:rFonts w:eastAsia="Times New Roman"/>
                <w:sz w:val="16"/>
                <w:szCs w:val="16"/>
                <w:lang w:val="en-GB" w:eastAsia="fr-BE"/>
              </w:rPr>
              <w:t>herefore</w:t>
            </w:r>
            <w:r w:rsidR="00B80875" w:rsidRPr="00272385">
              <w:rPr>
                <w:rFonts w:eastAsia="Times New Roman"/>
                <w:sz w:val="16"/>
                <w:szCs w:val="16"/>
                <w:lang w:val="en-GB" w:eastAsia="fr-BE"/>
              </w:rPr>
              <w:t>,</w:t>
            </w:r>
            <w:r w:rsidR="009616F4" w:rsidRPr="00272385">
              <w:rPr>
                <w:rFonts w:eastAsia="Times New Roman"/>
                <w:sz w:val="16"/>
                <w:szCs w:val="16"/>
                <w:lang w:val="en-GB" w:eastAsia="fr-BE"/>
              </w:rPr>
              <w:t xml:space="preserve"> updates are not always achieved when data quality issues are detected.</w:t>
            </w:r>
          </w:p>
        </w:tc>
      </w:tr>
      <w:tr w:rsidR="00BD5FC7" w:rsidRPr="00272385" w14:paraId="5F8E1763" w14:textId="77777777" w:rsidTr="3779A2E1">
        <w:trPr>
          <w:trHeight w:val="450"/>
        </w:trPr>
        <w:tc>
          <w:tcPr>
            <w:tcW w:w="1273" w:type="dxa"/>
            <w:tcBorders>
              <w:top w:val="nil"/>
              <w:left w:val="single" w:sz="12" w:space="0" w:color="5BAA9D" w:themeColor="accent1"/>
              <w:bottom w:val="nil"/>
            </w:tcBorders>
            <w:vAlign w:val="center"/>
          </w:tcPr>
          <w:p w14:paraId="42BF6E7C" w14:textId="77777777" w:rsidR="00BD5FC7" w:rsidRPr="00272385" w:rsidRDefault="00BD5FC7" w:rsidP="00BD5FC7">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44FE5168" w14:textId="77777777" w:rsidR="00BD5FC7" w:rsidRPr="00272385" w:rsidRDefault="00BD5FC7" w:rsidP="00BD5FC7">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Accessibility and clarity</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0321B281" w14:textId="4DE7E1F6" w:rsidR="004E4F4E" w:rsidRPr="00272385" w:rsidRDefault="004E4F4E" w:rsidP="10F3BC02">
            <w:pPr>
              <w:spacing w:beforeLines="20" w:before="48" w:afterLines="20" w:after="48" w:line="240" w:lineRule="auto"/>
              <w:rPr>
                <w:rFonts w:eastAsia="Times New Roman"/>
                <w:sz w:val="16"/>
                <w:szCs w:val="16"/>
                <w:lang w:val="en-GB" w:eastAsia="fr-BE"/>
              </w:rPr>
            </w:pPr>
            <w:r w:rsidRPr="00272385">
              <w:rPr>
                <w:rFonts w:eastAsia="Times New Roman"/>
                <w:b/>
                <w:bCs/>
                <w:sz w:val="16"/>
                <w:szCs w:val="16"/>
                <w:lang w:val="en-GB" w:eastAsia="fr-BE"/>
              </w:rPr>
              <w:t>Publications</w:t>
            </w:r>
            <w:r w:rsidR="00B80875" w:rsidRPr="00272385">
              <w:rPr>
                <w:rFonts w:eastAsia="Times New Roman"/>
                <w:b/>
                <w:bCs/>
                <w:sz w:val="16"/>
                <w:szCs w:val="16"/>
                <w:lang w:val="en-GB" w:eastAsia="fr-BE"/>
              </w:rPr>
              <w:t>:</w:t>
            </w:r>
            <w:r w:rsidRPr="00272385">
              <w:rPr>
                <w:rFonts w:eastAsia="Times New Roman"/>
                <w:sz w:val="16"/>
                <w:szCs w:val="16"/>
                <w:lang w:val="en-GB" w:eastAsia="fr-BE"/>
              </w:rPr>
              <w:t xml:space="preserve"> </w:t>
            </w:r>
            <w:r w:rsidR="005F37AE" w:rsidRPr="00272385">
              <w:rPr>
                <w:rFonts w:eastAsia="Times New Roman"/>
                <w:sz w:val="16"/>
                <w:szCs w:val="16"/>
                <w:lang w:val="en-GB" w:eastAsia="fr-BE"/>
              </w:rPr>
              <w:t xml:space="preserve">Raw </w:t>
            </w:r>
            <w:r w:rsidR="00E21B6F" w:rsidRPr="00272385">
              <w:rPr>
                <w:rFonts w:eastAsia="Times New Roman"/>
                <w:sz w:val="16"/>
                <w:szCs w:val="16"/>
                <w:lang w:val="en-GB" w:eastAsia="fr-BE"/>
              </w:rPr>
              <w:t xml:space="preserve">final </w:t>
            </w:r>
            <w:r w:rsidR="005F37AE" w:rsidRPr="00272385">
              <w:rPr>
                <w:rFonts w:eastAsia="Times New Roman"/>
                <w:sz w:val="16"/>
                <w:szCs w:val="16"/>
                <w:lang w:val="en-GB" w:eastAsia="fr-BE"/>
              </w:rPr>
              <w:t xml:space="preserve">data is available via </w:t>
            </w:r>
            <w:hyperlink r:id="rId18" w:history="1">
              <w:proofErr w:type="spellStart"/>
              <w:r w:rsidR="005F37AE" w:rsidRPr="00272385">
                <w:rPr>
                  <w:rStyle w:val="Hyperlink"/>
                  <w:rFonts w:eastAsia="Times New Roman"/>
                  <w:sz w:val="16"/>
                  <w:szCs w:val="16"/>
                  <w:lang w:val="en-GB" w:eastAsia="fr-BE"/>
                </w:rPr>
                <w:t>Reportnet</w:t>
              </w:r>
              <w:proofErr w:type="spellEnd"/>
              <w:r w:rsidR="005F37AE" w:rsidRPr="00272385">
                <w:rPr>
                  <w:rStyle w:val="Hyperlink"/>
                  <w:rFonts w:eastAsia="Times New Roman"/>
                  <w:sz w:val="16"/>
                  <w:szCs w:val="16"/>
                  <w:lang w:val="en-GB" w:eastAsia="fr-BE"/>
                </w:rPr>
                <w:t xml:space="preserve"> 3</w:t>
              </w:r>
            </w:hyperlink>
            <w:r w:rsidR="005F37AE" w:rsidRPr="00272385">
              <w:rPr>
                <w:rFonts w:eastAsia="Times New Roman"/>
                <w:sz w:val="16"/>
                <w:szCs w:val="16"/>
                <w:lang w:val="en-GB" w:eastAsia="fr-BE"/>
              </w:rPr>
              <w:t xml:space="preserve">. </w:t>
            </w:r>
            <w:r w:rsidR="00E21B6F" w:rsidRPr="00272385">
              <w:rPr>
                <w:rFonts w:eastAsia="Times New Roman"/>
                <w:sz w:val="16"/>
                <w:szCs w:val="16"/>
                <w:lang w:val="en-GB" w:eastAsia="fr-BE"/>
              </w:rPr>
              <w:t>The</w:t>
            </w:r>
            <w:r w:rsidRPr="00272385">
              <w:rPr>
                <w:rFonts w:eastAsia="Times New Roman"/>
                <w:sz w:val="16"/>
                <w:szCs w:val="16"/>
                <w:lang w:val="en-GB" w:eastAsia="fr-BE"/>
              </w:rPr>
              <w:t xml:space="preserve"> EEA </w:t>
            </w:r>
            <w:r w:rsidR="00E21B6F" w:rsidRPr="00272385">
              <w:rPr>
                <w:rFonts w:eastAsia="Times New Roman"/>
                <w:sz w:val="16"/>
                <w:szCs w:val="16"/>
                <w:lang w:val="en-GB" w:eastAsia="fr-BE"/>
              </w:rPr>
              <w:t xml:space="preserve">also </w:t>
            </w:r>
            <w:r w:rsidRPr="00272385">
              <w:rPr>
                <w:rFonts w:eastAsia="Times New Roman"/>
                <w:sz w:val="16"/>
                <w:szCs w:val="16"/>
                <w:lang w:val="en-GB" w:eastAsia="fr-BE"/>
              </w:rPr>
              <w:t xml:space="preserve">prepares two major products to disseminate the data </w:t>
            </w:r>
            <w:r w:rsidR="00027171" w:rsidRPr="00272385">
              <w:rPr>
                <w:rFonts w:eastAsia="Times New Roman"/>
                <w:sz w:val="16"/>
                <w:szCs w:val="16"/>
                <w:lang w:val="en-GB" w:eastAsia="fr-BE"/>
              </w:rPr>
              <w:t>via a data visualisation dashboard</w:t>
            </w:r>
            <w:r w:rsidR="0032459A" w:rsidRPr="00272385">
              <w:rPr>
                <w:lang w:val="en-GB"/>
              </w:rPr>
              <w:t xml:space="preserve"> </w:t>
            </w:r>
            <w:r w:rsidR="0032459A" w:rsidRPr="00272385">
              <w:rPr>
                <w:rFonts w:eastAsia="Times New Roman"/>
                <w:sz w:val="16"/>
                <w:szCs w:val="16"/>
                <w:lang w:val="en-GB" w:eastAsia="fr-BE"/>
              </w:rPr>
              <w:t>and via</w:t>
            </w:r>
            <w:r w:rsidR="00D97B90" w:rsidRPr="00272385">
              <w:rPr>
                <w:rFonts w:eastAsia="Times New Roman"/>
                <w:sz w:val="16"/>
                <w:szCs w:val="16"/>
                <w:lang w:val="en-GB" w:eastAsia="fr-BE"/>
              </w:rPr>
              <w:t xml:space="preserve"> country</w:t>
            </w:r>
            <w:r w:rsidR="0032459A" w:rsidRPr="00272385">
              <w:rPr>
                <w:rFonts w:eastAsia="Times New Roman"/>
                <w:sz w:val="16"/>
                <w:szCs w:val="16"/>
                <w:lang w:val="en-GB" w:eastAsia="fr-BE"/>
              </w:rPr>
              <w:t xml:space="preserve"> factsheets</w:t>
            </w:r>
            <w:r w:rsidR="00A95509" w:rsidRPr="00272385">
              <w:rPr>
                <w:rFonts w:eastAsia="Times New Roman"/>
                <w:sz w:val="16"/>
                <w:szCs w:val="16"/>
                <w:lang w:val="en-GB" w:eastAsia="fr-BE"/>
              </w:rPr>
              <w:t xml:space="preserve"> (both available</w:t>
            </w:r>
            <w:r w:rsidR="007334E7" w:rsidRPr="00272385">
              <w:rPr>
                <w:rFonts w:eastAsia="Times New Roman"/>
                <w:sz w:val="16"/>
                <w:szCs w:val="16"/>
                <w:lang w:val="en-GB" w:eastAsia="fr-BE"/>
              </w:rPr>
              <w:t xml:space="preserve"> on </w:t>
            </w:r>
            <w:hyperlink r:id="rId19" w:history="1">
              <w:r w:rsidR="007334E7" w:rsidRPr="00272385">
                <w:rPr>
                  <w:rStyle w:val="Hyperlink"/>
                  <w:rFonts w:eastAsia="Times New Roman"/>
                  <w:sz w:val="16"/>
                  <w:szCs w:val="16"/>
                  <w:lang w:val="en-GB" w:eastAsia="fr-BE"/>
                </w:rPr>
                <w:t>climate and energy</w:t>
              </w:r>
            </w:hyperlink>
            <w:r w:rsidR="007334E7" w:rsidRPr="00272385">
              <w:rPr>
                <w:rFonts w:eastAsia="Times New Roman"/>
                <w:sz w:val="16"/>
                <w:szCs w:val="16"/>
                <w:lang w:val="en-GB" w:eastAsia="fr-BE"/>
              </w:rPr>
              <w:t>)</w:t>
            </w:r>
            <w:r w:rsidR="00027171" w:rsidRPr="00272385">
              <w:rPr>
                <w:rFonts w:eastAsia="Times New Roman"/>
                <w:sz w:val="16"/>
                <w:szCs w:val="16"/>
                <w:lang w:val="en-GB" w:eastAsia="fr-BE"/>
              </w:rPr>
              <w:t>.</w:t>
            </w:r>
          </w:p>
          <w:p w14:paraId="29FA04D0" w14:textId="7B55730C" w:rsidR="00027171" w:rsidRPr="00272385" w:rsidRDefault="00CC737A" w:rsidP="2459FCD7">
            <w:pPr>
              <w:spacing w:beforeLines="20" w:before="48" w:afterLines="20" w:after="48" w:line="240" w:lineRule="auto"/>
              <w:rPr>
                <w:rFonts w:eastAsia="Times New Roman"/>
                <w:sz w:val="16"/>
                <w:szCs w:val="16"/>
                <w:lang w:val="en-GB" w:eastAsia="fr-BE"/>
              </w:rPr>
            </w:pPr>
            <w:r w:rsidRPr="00272385">
              <w:rPr>
                <w:rFonts w:eastAsia="Times New Roman"/>
                <w:sz w:val="16"/>
                <w:szCs w:val="16"/>
                <w:lang w:val="en-GB" w:eastAsia="fr-BE"/>
              </w:rPr>
              <w:t>E</w:t>
            </w:r>
            <w:r w:rsidR="00A970C6" w:rsidRPr="00272385">
              <w:rPr>
                <w:rFonts w:eastAsia="Times New Roman"/>
                <w:sz w:val="16"/>
                <w:szCs w:val="16"/>
                <w:lang w:val="en-GB" w:eastAsia="fr-BE"/>
              </w:rPr>
              <w:t>very second year</w:t>
            </w:r>
            <w:r w:rsidR="00027171" w:rsidRPr="00272385">
              <w:rPr>
                <w:rFonts w:eastAsia="Times New Roman"/>
                <w:sz w:val="16"/>
                <w:szCs w:val="16"/>
                <w:lang w:val="en-GB" w:eastAsia="fr-BE"/>
              </w:rPr>
              <w:t xml:space="preserve">, </w:t>
            </w:r>
            <w:r w:rsidR="007529DF" w:rsidRPr="00272385">
              <w:rPr>
                <w:rFonts w:eastAsia="Times New Roman"/>
                <w:sz w:val="16"/>
                <w:szCs w:val="16"/>
                <w:lang w:val="en-GB" w:eastAsia="fr-BE"/>
              </w:rPr>
              <w:t>the ETC provides a</w:t>
            </w:r>
            <w:r w:rsidR="00027171" w:rsidRPr="00272385">
              <w:rPr>
                <w:rFonts w:eastAsia="Times New Roman"/>
                <w:sz w:val="16"/>
                <w:szCs w:val="16"/>
                <w:lang w:val="en-GB" w:eastAsia="fr-BE"/>
              </w:rPr>
              <w:t xml:space="preserve"> report on the contents of the reported </w:t>
            </w:r>
            <w:r w:rsidR="00210662" w:rsidRPr="00272385">
              <w:rPr>
                <w:rFonts w:eastAsia="Times New Roman"/>
                <w:sz w:val="16"/>
                <w:szCs w:val="16"/>
                <w:lang w:val="en-GB" w:eastAsia="fr-BE"/>
              </w:rPr>
              <w:t xml:space="preserve">integrated </w:t>
            </w:r>
            <w:r w:rsidR="00210662" w:rsidRPr="00272385">
              <w:rPr>
                <w:rFonts w:eastAsia="Times New Roman" w:cstheme="minorHAnsi"/>
                <w:sz w:val="16"/>
                <w:szCs w:val="16"/>
                <w:lang w:val="en-GB" w:eastAsia="fr-BE"/>
              </w:rPr>
              <w:t>‘policies and measures’ (</w:t>
            </w:r>
            <w:proofErr w:type="spellStart"/>
            <w:r w:rsidR="00210662" w:rsidRPr="00272385">
              <w:rPr>
                <w:rFonts w:eastAsia="Times New Roman" w:cstheme="minorHAnsi"/>
                <w:sz w:val="16"/>
                <w:szCs w:val="16"/>
                <w:lang w:val="en-GB" w:eastAsia="fr-BE"/>
              </w:rPr>
              <w:t>PaMs</w:t>
            </w:r>
            <w:proofErr w:type="spellEnd"/>
            <w:r w:rsidR="00210662" w:rsidRPr="00272385">
              <w:rPr>
                <w:rFonts w:eastAsia="Times New Roman" w:cstheme="minorHAnsi"/>
                <w:sz w:val="16"/>
                <w:szCs w:val="16"/>
                <w:lang w:val="en-GB" w:eastAsia="fr-BE"/>
              </w:rPr>
              <w:t xml:space="preserve">) </w:t>
            </w:r>
            <w:r w:rsidR="00027171" w:rsidRPr="00272385">
              <w:rPr>
                <w:rFonts w:eastAsia="Times New Roman"/>
                <w:sz w:val="16"/>
                <w:szCs w:val="16"/>
                <w:lang w:val="en-GB" w:eastAsia="fr-BE"/>
              </w:rPr>
              <w:t>data</w:t>
            </w:r>
            <w:r w:rsidR="00210662" w:rsidRPr="00272385">
              <w:rPr>
                <w:rFonts w:eastAsia="Times New Roman"/>
                <w:sz w:val="16"/>
                <w:szCs w:val="16"/>
                <w:lang w:val="en-GB" w:eastAsia="fr-BE"/>
              </w:rPr>
              <w:t>, which also includes</w:t>
            </w:r>
            <w:r w:rsidR="00AD2027" w:rsidRPr="00272385">
              <w:rPr>
                <w:rFonts w:eastAsia="Times New Roman"/>
                <w:sz w:val="16"/>
                <w:szCs w:val="16"/>
                <w:lang w:val="en-GB" w:eastAsia="fr-BE"/>
              </w:rPr>
              <w:t xml:space="preserve"> information on the reported national systems data,</w:t>
            </w:r>
            <w:r w:rsidR="00027171" w:rsidRPr="00272385">
              <w:rPr>
                <w:rFonts w:eastAsia="Times New Roman"/>
                <w:sz w:val="16"/>
                <w:szCs w:val="16"/>
                <w:lang w:val="en-GB" w:eastAsia="fr-BE"/>
              </w:rPr>
              <w:t xml:space="preserve"> and the quality process undertaken on the data</w:t>
            </w:r>
            <w:r w:rsidR="00D97B90" w:rsidRPr="00272385">
              <w:rPr>
                <w:rFonts w:eastAsia="Times New Roman"/>
                <w:sz w:val="16"/>
                <w:szCs w:val="16"/>
                <w:lang w:val="en-GB" w:eastAsia="fr-BE"/>
              </w:rPr>
              <w:t xml:space="preserve">. This report </w:t>
            </w:r>
            <w:r w:rsidR="00A26B2C" w:rsidRPr="00272385">
              <w:rPr>
                <w:rFonts w:eastAsia="Times New Roman"/>
                <w:sz w:val="16"/>
                <w:szCs w:val="16"/>
                <w:lang w:val="en-GB" w:eastAsia="fr-BE"/>
              </w:rPr>
              <w:t xml:space="preserve">is published on the </w:t>
            </w:r>
            <w:hyperlink r:id="rId20">
              <w:r w:rsidR="1C9C5D4B" w:rsidRPr="00272385">
                <w:rPr>
                  <w:rStyle w:val="Hyperlink"/>
                  <w:rFonts w:eastAsia="Times New Roman"/>
                  <w:sz w:val="16"/>
                  <w:szCs w:val="16"/>
                  <w:lang w:val="en-GB" w:eastAsia="fr-BE"/>
                </w:rPr>
                <w:t>ETC-CM product</w:t>
              </w:r>
            </w:hyperlink>
            <w:r w:rsidR="1C9C5D4B" w:rsidRPr="00272385">
              <w:rPr>
                <w:rFonts w:eastAsia="Times New Roman"/>
                <w:sz w:val="16"/>
                <w:szCs w:val="16"/>
                <w:lang w:val="en-GB" w:eastAsia="fr-BE"/>
              </w:rPr>
              <w:t xml:space="preserve"> site</w:t>
            </w:r>
            <w:r w:rsidR="00027171" w:rsidRPr="00272385">
              <w:rPr>
                <w:rFonts w:eastAsia="Times New Roman"/>
                <w:sz w:val="16"/>
                <w:szCs w:val="16"/>
                <w:lang w:val="en-GB" w:eastAsia="fr-BE"/>
              </w:rPr>
              <w:t xml:space="preserve">. </w:t>
            </w:r>
            <w:r w:rsidR="00280841" w:rsidRPr="00272385">
              <w:rPr>
                <w:rFonts w:eastAsia="Times New Roman"/>
                <w:sz w:val="16"/>
                <w:szCs w:val="16"/>
                <w:lang w:val="en-GB" w:eastAsia="fr-BE"/>
              </w:rPr>
              <w:t xml:space="preserve">Ad hoc reports are published </w:t>
            </w:r>
            <w:r w:rsidR="00557A5E" w:rsidRPr="00272385">
              <w:rPr>
                <w:rFonts w:eastAsia="Times New Roman"/>
                <w:sz w:val="16"/>
                <w:szCs w:val="16"/>
                <w:lang w:val="en-GB" w:eastAsia="fr-BE"/>
              </w:rPr>
              <w:t>that explore</w:t>
            </w:r>
            <w:r w:rsidR="00280841" w:rsidRPr="00272385">
              <w:rPr>
                <w:rFonts w:eastAsia="Times New Roman"/>
                <w:sz w:val="16"/>
                <w:szCs w:val="16"/>
                <w:lang w:val="en-GB" w:eastAsia="fr-BE"/>
              </w:rPr>
              <w:t xml:space="preserve"> the dataset</w:t>
            </w:r>
            <w:r w:rsidR="00A727BF" w:rsidRPr="00272385">
              <w:rPr>
                <w:rFonts w:eastAsia="Times New Roman"/>
                <w:sz w:val="16"/>
                <w:szCs w:val="16"/>
                <w:lang w:val="en-GB" w:eastAsia="fr-BE"/>
              </w:rPr>
              <w:t xml:space="preserve"> in more depth</w:t>
            </w:r>
            <w:r w:rsidR="00280841" w:rsidRPr="00272385">
              <w:rPr>
                <w:rFonts w:eastAsia="Times New Roman"/>
                <w:sz w:val="16"/>
                <w:szCs w:val="16"/>
                <w:lang w:val="en-GB" w:eastAsia="fr-BE"/>
              </w:rPr>
              <w:t>, either by the ETC</w:t>
            </w:r>
            <w:r w:rsidR="00B620E8" w:rsidRPr="00272385">
              <w:rPr>
                <w:rFonts w:eastAsia="Times New Roman"/>
                <w:sz w:val="16"/>
                <w:szCs w:val="16"/>
                <w:lang w:val="en-GB" w:eastAsia="fr-BE"/>
              </w:rPr>
              <w:t>-CM</w:t>
            </w:r>
            <w:r w:rsidR="00280841" w:rsidRPr="00272385">
              <w:rPr>
                <w:rFonts w:eastAsia="Times New Roman"/>
                <w:sz w:val="16"/>
                <w:szCs w:val="16"/>
                <w:lang w:val="en-GB" w:eastAsia="fr-BE"/>
              </w:rPr>
              <w:t xml:space="preserve"> </w:t>
            </w:r>
            <w:r w:rsidR="48DA0647" w:rsidRPr="00272385">
              <w:rPr>
                <w:rFonts w:eastAsia="Times New Roman"/>
                <w:sz w:val="16"/>
                <w:szCs w:val="16"/>
                <w:lang w:val="en-GB" w:eastAsia="fr-BE"/>
              </w:rPr>
              <w:t>and/</w:t>
            </w:r>
            <w:r w:rsidR="00280841" w:rsidRPr="00272385">
              <w:rPr>
                <w:rFonts w:eastAsia="Times New Roman"/>
                <w:sz w:val="16"/>
                <w:szCs w:val="16"/>
                <w:lang w:val="en-GB" w:eastAsia="fr-BE"/>
              </w:rPr>
              <w:t>or the EEA.</w:t>
            </w:r>
          </w:p>
          <w:p w14:paraId="1562B58F" w14:textId="1BE34DF0" w:rsidR="00560053" w:rsidRPr="00272385" w:rsidRDefault="00171DF2" w:rsidP="00BD5FC7">
            <w:pPr>
              <w:spacing w:beforeLines="20" w:before="48" w:afterLines="20" w:after="48" w:line="240" w:lineRule="auto"/>
              <w:rPr>
                <w:rFonts w:eastAsia="Times New Roman" w:cstheme="minorHAnsi"/>
                <w:sz w:val="16"/>
                <w:szCs w:val="16"/>
                <w:lang w:val="en-GB" w:eastAsia="fr-BE"/>
              </w:rPr>
            </w:pPr>
            <w:r w:rsidRPr="00272385">
              <w:rPr>
                <w:rFonts w:eastAsia="Times New Roman" w:cstheme="minorHAnsi"/>
                <w:b/>
                <w:bCs/>
                <w:sz w:val="16"/>
                <w:szCs w:val="16"/>
                <w:lang w:val="en-GB" w:eastAsia="fr-BE"/>
              </w:rPr>
              <w:t>Quality documentation</w:t>
            </w:r>
            <w:r w:rsidRPr="00272385">
              <w:rPr>
                <w:rFonts w:eastAsia="Times New Roman" w:cstheme="minorHAnsi"/>
                <w:sz w:val="16"/>
                <w:szCs w:val="16"/>
                <w:lang w:val="en-GB" w:eastAsia="fr-BE"/>
              </w:rPr>
              <w:t>:</w:t>
            </w:r>
            <w:r w:rsidR="006E1D98" w:rsidRPr="00272385">
              <w:rPr>
                <w:rFonts w:eastAsia="Times New Roman" w:cstheme="minorHAnsi"/>
                <w:sz w:val="16"/>
                <w:szCs w:val="16"/>
                <w:lang w:val="en-GB" w:eastAsia="fr-BE"/>
              </w:rPr>
              <w:t xml:space="preserve"> </w:t>
            </w:r>
            <w:r w:rsidRPr="00272385">
              <w:rPr>
                <w:rFonts w:eastAsia="Times New Roman" w:cstheme="minorHAnsi"/>
                <w:sz w:val="16"/>
                <w:szCs w:val="16"/>
                <w:lang w:val="en-GB" w:eastAsia="fr-BE"/>
              </w:rPr>
              <w:t xml:space="preserve">Automatic quality assurance and quality control mechanisms are implemented in </w:t>
            </w:r>
            <w:hyperlink r:id="rId21" w:history="1">
              <w:proofErr w:type="spellStart"/>
              <w:r w:rsidRPr="00272385">
                <w:rPr>
                  <w:rStyle w:val="Hyperlink"/>
                  <w:rFonts w:eastAsia="Times New Roman" w:cstheme="minorHAnsi"/>
                  <w:sz w:val="16"/>
                  <w:szCs w:val="16"/>
                  <w:lang w:val="en-GB" w:eastAsia="fr-BE"/>
                </w:rPr>
                <w:t>Reportnet</w:t>
              </w:r>
              <w:proofErr w:type="spellEnd"/>
              <w:r w:rsidRPr="00272385">
                <w:rPr>
                  <w:rStyle w:val="Hyperlink"/>
                  <w:rFonts w:eastAsia="Times New Roman" w:cstheme="minorHAnsi"/>
                  <w:sz w:val="16"/>
                  <w:szCs w:val="16"/>
                  <w:lang w:val="en-GB" w:eastAsia="fr-BE"/>
                </w:rPr>
                <w:t xml:space="preserve"> 3</w:t>
              </w:r>
            </w:hyperlink>
            <w:r w:rsidRPr="00272385">
              <w:rPr>
                <w:rFonts w:eastAsia="Times New Roman" w:cstheme="minorHAnsi"/>
                <w:sz w:val="16"/>
                <w:szCs w:val="16"/>
                <w:lang w:val="en-GB" w:eastAsia="fr-BE"/>
              </w:rPr>
              <w:t xml:space="preserve">. Details on the automatic quality control mechanisms are listed in the Excel document (sheet ‘QC rules’) available for download on the </w:t>
            </w:r>
            <w:proofErr w:type="spellStart"/>
            <w:r w:rsidRPr="00272385">
              <w:rPr>
                <w:rFonts w:eastAsia="Times New Roman" w:cstheme="minorHAnsi"/>
                <w:sz w:val="16"/>
                <w:szCs w:val="16"/>
                <w:lang w:val="en-GB" w:eastAsia="fr-BE"/>
              </w:rPr>
              <w:t>Reportnet</w:t>
            </w:r>
            <w:proofErr w:type="spellEnd"/>
            <w:r w:rsidRPr="00272385">
              <w:rPr>
                <w:rFonts w:eastAsia="Times New Roman" w:cstheme="minorHAnsi"/>
                <w:sz w:val="16"/>
                <w:szCs w:val="16"/>
                <w:lang w:val="en-GB" w:eastAsia="fr-BE"/>
              </w:rPr>
              <w:t xml:space="preserve"> 3 website. </w:t>
            </w:r>
            <w:r w:rsidR="006F23AD" w:rsidRPr="00272385">
              <w:rPr>
                <w:rFonts w:eastAsia="Times New Roman" w:cstheme="minorHAnsi"/>
                <w:sz w:val="16"/>
                <w:szCs w:val="16"/>
                <w:lang w:val="en-GB" w:eastAsia="fr-BE"/>
              </w:rPr>
              <w:t xml:space="preserve">In </w:t>
            </w:r>
            <w:proofErr w:type="spellStart"/>
            <w:r w:rsidR="006F23AD" w:rsidRPr="00272385">
              <w:rPr>
                <w:rFonts w:eastAsia="Times New Roman" w:cstheme="minorHAnsi"/>
                <w:sz w:val="16"/>
                <w:szCs w:val="16"/>
                <w:lang w:val="en-GB" w:eastAsia="fr-BE"/>
              </w:rPr>
              <w:t>Reportnet</w:t>
            </w:r>
            <w:proofErr w:type="spellEnd"/>
            <w:r w:rsidR="006F23AD" w:rsidRPr="00272385">
              <w:rPr>
                <w:rFonts w:eastAsia="Times New Roman" w:cstheme="minorHAnsi"/>
                <w:sz w:val="16"/>
                <w:szCs w:val="16"/>
                <w:lang w:val="en-GB" w:eastAsia="fr-BE"/>
              </w:rPr>
              <w:t>, n</w:t>
            </w:r>
            <w:r w:rsidRPr="00272385">
              <w:rPr>
                <w:rFonts w:eastAsia="Times New Roman" w:cstheme="minorHAnsi"/>
                <w:sz w:val="16"/>
                <w:szCs w:val="16"/>
                <w:lang w:val="en-GB" w:eastAsia="fr-BE"/>
              </w:rPr>
              <w:t>avigate to the relevant year of the dataflow ‘</w:t>
            </w:r>
            <w:r w:rsidR="00F71A4B" w:rsidRPr="00272385">
              <w:rPr>
                <w:rFonts w:eastAsia="Times New Roman" w:cstheme="minorHAnsi"/>
                <w:sz w:val="16"/>
                <w:szCs w:val="16"/>
                <w:lang w:val="en-GB" w:eastAsia="fr-BE"/>
              </w:rPr>
              <w:t>National systems for policies and measures and projections</w:t>
            </w:r>
            <w:r w:rsidRPr="00272385">
              <w:rPr>
                <w:rFonts w:eastAsia="Times New Roman" w:cstheme="minorHAnsi"/>
                <w:sz w:val="16"/>
                <w:szCs w:val="16"/>
                <w:lang w:val="en-GB" w:eastAsia="fr-BE"/>
              </w:rPr>
              <w:t>’ and click on the button ‘Download schema/s info’</w:t>
            </w:r>
            <w:r w:rsidR="0036403C" w:rsidRPr="00272385">
              <w:rPr>
                <w:rFonts w:eastAsia="Times New Roman" w:cstheme="minorHAnsi"/>
                <w:sz w:val="16"/>
                <w:szCs w:val="16"/>
                <w:lang w:val="en-GB" w:eastAsia="fr-BE"/>
              </w:rPr>
              <w:t>, as seen on the picture</w:t>
            </w:r>
            <w:r w:rsidRPr="00272385">
              <w:rPr>
                <w:rFonts w:eastAsia="Times New Roman" w:cstheme="minorHAnsi"/>
                <w:sz w:val="16"/>
                <w:szCs w:val="16"/>
                <w:lang w:val="en-GB" w:eastAsia="fr-BE"/>
              </w:rPr>
              <w:t>.</w:t>
            </w:r>
          </w:p>
          <w:p w14:paraId="06E6CE89" w14:textId="4DC6CEA8" w:rsidR="00171DF2" w:rsidRPr="00272385" w:rsidRDefault="00B65E1B" w:rsidP="004342A5">
            <w:pPr>
              <w:spacing w:beforeLines="20" w:before="48" w:afterLines="20" w:after="48" w:line="240" w:lineRule="auto"/>
              <w:jc w:val="center"/>
              <w:rPr>
                <w:rFonts w:eastAsia="Times New Roman" w:cstheme="minorHAnsi"/>
                <w:sz w:val="16"/>
                <w:szCs w:val="16"/>
                <w:lang w:val="en-GB" w:eastAsia="fr-BE"/>
              </w:rPr>
            </w:pPr>
            <w:r w:rsidRPr="00272385">
              <w:rPr>
                <w:rFonts w:eastAsia="Times New Roman" w:cstheme="minorHAnsi"/>
                <w:noProof/>
                <w:sz w:val="16"/>
                <w:szCs w:val="16"/>
                <w:lang w:val="en-GB" w:eastAsia="fr-BE"/>
              </w:rPr>
              <w:drawing>
                <wp:inline distT="0" distB="0" distL="0" distR="0" wp14:anchorId="202B0D2A" wp14:editId="55A9270B">
                  <wp:extent cx="4089210" cy="1073785"/>
                  <wp:effectExtent l="0" t="0" r="6985" b="0"/>
                  <wp:docPr id="13131203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120365" name="Picture 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94968" cy="1075297"/>
                          </a:xfrm>
                          <a:prstGeom prst="rect">
                            <a:avLst/>
                          </a:prstGeom>
                        </pic:spPr>
                      </pic:pic>
                    </a:graphicData>
                  </a:graphic>
                </wp:inline>
              </w:drawing>
            </w:r>
          </w:p>
        </w:tc>
      </w:tr>
      <w:tr w:rsidR="00BD5FC7" w:rsidRPr="00B56106" w14:paraId="111F9EBC" w14:textId="77777777" w:rsidTr="3779A2E1">
        <w:trPr>
          <w:trHeight w:val="450"/>
        </w:trPr>
        <w:tc>
          <w:tcPr>
            <w:tcW w:w="1273" w:type="dxa"/>
            <w:tcBorders>
              <w:top w:val="nil"/>
              <w:left w:val="single" w:sz="12" w:space="0" w:color="5BAA9D" w:themeColor="accent1"/>
              <w:bottom w:val="nil"/>
            </w:tcBorders>
            <w:vAlign w:val="center"/>
          </w:tcPr>
          <w:p w14:paraId="692424F4" w14:textId="77777777" w:rsidR="00BD5FC7" w:rsidRPr="00272385" w:rsidRDefault="00BD5FC7" w:rsidP="00BD5FC7">
            <w:pPr>
              <w:spacing w:beforeLines="20" w:before="48" w:afterLines="20" w:after="48"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nil"/>
            </w:tcBorders>
            <w:vAlign w:val="center"/>
          </w:tcPr>
          <w:p w14:paraId="2AAA8560" w14:textId="77777777" w:rsidR="00BD5FC7" w:rsidRPr="00272385" w:rsidRDefault="00BD5FC7" w:rsidP="00BD5FC7">
            <w:pPr>
              <w:spacing w:beforeLines="20" w:before="48" w:afterLines="20" w:after="48"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Coherence and comparability</w:t>
            </w:r>
          </w:p>
        </w:tc>
        <w:tc>
          <w:tcPr>
            <w:tcW w:w="6982" w:type="dxa"/>
            <w:tcBorders>
              <w:top w:val="dotted" w:sz="4" w:space="0" w:color="428076" w:themeColor="accent1" w:themeShade="BF"/>
              <w:bottom w:val="nil"/>
              <w:right w:val="single" w:sz="12" w:space="0" w:color="5BAA9D" w:themeColor="accent1"/>
            </w:tcBorders>
            <w:vAlign w:val="center"/>
          </w:tcPr>
          <w:p w14:paraId="72EDE543" w14:textId="3AB336AF" w:rsidR="00BD7842" w:rsidRPr="00272385" w:rsidRDefault="00996BE9" w:rsidP="10F3BC02">
            <w:pPr>
              <w:spacing w:beforeLines="20" w:before="48" w:afterLines="20" w:after="48" w:line="240" w:lineRule="auto"/>
              <w:rPr>
                <w:rFonts w:eastAsia="Times New Roman"/>
                <w:sz w:val="16"/>
                <w:szCs w:val="16"/>
                <w:lang w:val="en-GB" w:eastAsia="fr-BE"/>
              </w:rPr>
            </w:pPr>
            <w:r w:rsidRPr="00272385">
              <w:rPr>
                <w:rFonts w:eastAsia="Times New Roman"/>
                <w:b/>
                <w:bCs/>
                <w:sz w:val="16"/>
                <w:szCs w:val="16"/>
                <w:lang w:val="en-GB" w:eastAsia="fr-BE"/>
              </w:rPr>
              <w:t>Geographical</w:t>
            </w:r>
            <w:r w:rsidR="6C9CCBBE" w:rsidRPr="00272385">
              <w:rPr>
                <w:rFonts w:eastAsia="Times New Roman"/>
                <w:b/>
                <w:bCs/>
                <w:sz w:val="16"/>
                <w:szCs w:val="16"/>
                <w:lang w:val="en-GB" w:eastAsia="fr-BE"/>
              </w:rPr>
              <w:t xml:space="preserve">: </w:t>
            </w:r>
            <w:r w:rsidR="00D94A59" w:rsidRPr="00272385">
              <w:rPr>
                <w:rFonts w:eastAsia="Times New Roman"/>
                <w:sz w:val="16"/>
                <w:szCs w:val="16"/>
                <w:lang w:val="en-GB" w:eastAsia="fr-BE"/>
              </w:rPr>
              <w:t>Data quality (completeness) differs amongst Member States.</w:t>
            </w:r>
          </w:p>
          <w:p w14:paraId="1B25B864" w14:textId="6E6A4E8B" w:rsidR="00996BE9" w:rsidRPr="00272385" w:rsidRDefault="00BD7842" w:rsidP="000A74D2">
            <w:pPr>
              <w:spacing w:beforeLines="20" w:before="48" w:afterLines="20" w:after="48" w:line="240" w:lineRule="auto"/>
              <w:rPr>
                <w:rFonts w:eastAsia="Times New Roman"/>
                <w:sz w:val="16"/>
                <w:szCs w:val="16"/>
                <w:lang w:val="en-GB" w:eastAsia="fr-BE"/>
              </w:rPr>
            </w:pPr>
            <w:r w:rsidRPr="00272385">
              <w:rPr>
                <w:rFonts w:eastAsia="Times New Roman"/>
                <w:b/>
                <w:bCs/>
                <w:sz w:val="16"/>
                <w:szCs w:val="16"/>
                <w:lang w:val="en-GB" w:eastAsia="fr-BE"/>
              </w:rPr>
              <w:t>Over time</w:t>
            </w:r>
            <w:r w:rsidR="00329975" w:rsidRPr="00272385">
              <w:rPr>
                <w:rFonts w:eastAsia="Times New Roman"/>
                <w:b/>
                <w:bCs/>
                <w:sz w:val="16"/>
                <w:szCs w:val="16"/>
                <w:lang w:val="en-GB" w:eastAsia="fr-BE"/>
              </w:rPr>
              <w:t xml:space="preserve">: </w:t>
            </w:r>
            <w:r w:rsidR="0093239D" w:rsidRPr="00272385">
              <w:rPr>
                <w:rFonts w:eastAsia="Times New Roman"/>
                <w:sz w:val="16"/>
                <w:szCs w:val="16"/>
                <w:lang w:val="en-GB" w:eastAsia="fr-BE"/>
              </w:rPr>
              <w:t xml:space="preserve">Datasets are self-standing and represent the complete </w:t>
            </w:r>
            <w:r w:rsidR="000A74D2" w:rsidRPr="00272385">
              <w:rPr>
                <w:rFonts w:eastAsia="Times New Roman"/>
                <w:sz w:val="16"/>
                <w:szCs w:val="16"/>
                <w:lang w:val="en-GB" w:eastAsia="fr-BE"/>
              </w:rPr>
              <w:t>over</w:t>
            </w:r>
            <w:r w:rsidR="00CF694F" w:rsidRPr="00272385">
              <w:rPr>
                <w:rFonts w:eastAsia="Times New Roman"/>
                <w:sz w:val="16"/>
                <w:szCs w:val="16"/>
                <w:lang w:val="en-GB" w:eastAsia="fr-BE"/>
              </w:rPr>
              <w:t>view</w:t>
            </w:r>
            <w:r w:rsidR="000A74D2" w:rsidRPr="00272385">
              <w:rPr>
                <w:rFonts w:eastAsia="Times New Roman"/>
                <w:sz w:val="16"/>
                <w:szCs w:val="16"/>
                <w:lang w:val="en-GB" w:eastAsia="fr-BE"/>
              </w:rPr>
              <w:t xml:space="preserve"> of the institutional, legal and procedural arrangements established for reporting on greenhouse gas (GHG) emissions policies and measures and GHG projections </w:t>
            </w:r>
            <w:r w:rsidR="0093239D" w:rsidRPr="00272385">
              <w:rPr>
                <w:rFonts w:eastAsia="Times New Roman"/>
                <w:sz w:val="16"/>
                <w:szCs w:val="16"/>
                <w:lang w:val="en-GB" w:eastAsia="fr-BE"/>
              </w:rPr>
              <w:t xml:space="preserve">at the time of reporting. </w:t>
            </w:r>
            <w:r w:rsidR="76F1407A" w:rsidRPr="00272385">
              <w:rPr>
                <w:rFonts w:eastAsia="Times New Roman"/>
                <w:sz w:val="16"/>
                <w:szCs w:val="16"/>
                <w:lang w:val="en-GB" w:eastAsia="fr-BE"/>
              </w:rPr>
              <w:t>Therefore,</w:t>
            </w:r>
            <w:r w:rsidR="0093239D" w:rsidRPr="00272385">
              <w:rPr>
                <w:rFonts w:eastAsia="Times New Roman"/>
                <w:sz w:val="16"/>
                <w:szCs w:val="16"/>
                <w:lang w:val="en-GB" w:eastAsia="fr-BE"/>
              </w:rPr>
              <w:t xml:space="preserve"> historic datasets do not reflect a timeseries and are not directly comparable. </w:t>
            </w:r>
            <w:r w:rsidR="00165508" w:rsidRPr="00272385">
              <w:rPr>
                <w:rFonts w:eastAsia="Times New Roman"/>
                <w:sz w:val="16"/>
                <w:szCs w:val="16"/>
                <w:lang w:val="en-GB" w:eastAsia="fr-BE"/>
              </w:rPr>
              <w:t xml:space="preserve">The latest dataset should always be used, if the current state of a country’s </w:t>
            </w:r>
            <w:r w:rsidR="009620B1" w:rsidRPr="00272385">
              <w:rPr>
                <w:rFonts w:eastAsia="Times New Roman"/>
                <w:sz w:val="16"/>
                <w:szCs w:val="16"/>
                <w:lang w:val="en-GB" w:eastAsia="fr-BE"/>
              </w:rPr>
              <w:t>national system</w:t>
            </w:r>
            <w:r w:rsidR="00165508" w:rsidRPr="00272385">
              <w:rPr>
                <w:rFonts w:eastAsia="Times New Roman"/>
                <w:sz w:val="16"/>
                <w:szCs w:val="16"/>
                <w:lang w:val="en-GB" w:eastAsia="fr-BE"/>
              </w:rPr>
              <w:t xml:space="preserve"> is the scope of analysis.</w:t>
            </w:r>
            <w:r w:rsidR="00D94A59" w:rsidRPr="00272385">
              <w:rPr>
                <w:rFonts w:eastAsia="Times New Roman"/>
                <w:sz w:val="16"/>
                <w:szCs w:val="16"/>
                <w:lang w:val="en-GB" w:eastAsia="fr-BE"/>
              </w:rPr>
              <w:t xml:space="preserve"> </w:t>
            </w:r>
          </w:p>
        </w:tc>
      </w:tr>
      <w:tr w:rsidR="009A7DF8" w:rsidRPr="00272385" w14:paraId="67B77ECA" w14:textId="77777777" w:rsidTr="3779A2E1">
        <w:trPr>
          <w:trHeight w:val="300"/>
        </w:trPr>
        <w:tc>
          <w:tcPr>
            <w:tcW w:w="1273" w:type="dxa"/>
            <w:tcBorders>
              <w:top w:val="nil"/>
              <w:left w:val="single" w:sz="12" w:space="0" w:color="5BAA9D" w:themeColor="accent1"/>
            </w:tcBorders>
            <w:shd w:val="clear" w:color="auto" w:fill="3C8EB2" w:themeFill="accent2"/>
            <w:vAlign w:val="center"/>
            <w:hideMark/>
          </w:tcPr>
          <w:p w14:paraId="051953F0" w14:textId="77777777" w:rsidR="00E1647E" w:rsidRPr="00272385" w:rsidRDefault="00E1647E" w:rsidP="004342A5">
            <w:pPr>
              <w:spacing w:beforeLines="10" w:before="24" w:afterLines="10" w:after="24" w:line="240" w:lineRule="auto"/>
              <w:jc w:val="center"/>
              <w:rPr>
                <w:rFonts w:eastAsia="Times New Roman" w:cstheme="minorHAnsi"/>
                <w:b/>
                <w:bCs/>
                <w:color w:val="FFFFFF" w:themeColor="background1"/>
                <w:szCs w:val="20"/>
                <w:lang w:val="en-GB" w:eastAsia="fr-BE"/>
              </w:rPr>
            </w:pPr>
            <w:r w:rsidRPr="00272385">
              <w:rPr>
                <w:rFonts w:eastAsia="Times New Roman" w:cstheme="minorHAnsi"/>
                <w:b/>
                <w:bCs/>
                <w:color w:val="FFFFFF" w:themeColor="background1"/>
                <w:szCs w:val="20"/>
                <w:lang w:val="en-GB" w:eastAsia="fr-BE"/>
              </w:rPr>
              <w:t>C</w:t>
            </w:r>
          </w:p>
        </w:tc>
        <w:tc>
          <w:tcPr>
            <w:tcW w:w="2110" w:type="dxa"/>
            <w:gridSpan w:val="2"/>
            <w:tcBorders>
              <w:top w:val="nil"/>
              <w:bottom w:val="nil"/>
            </w:tcBorders>
            <w:shd w:val="clear" w:color="auto" w:fill="3C8EB2" w:themeFill="accent2"/>
            <w:vAlign w:val="center"/>
            <w:hideMark/>
          </w:tcPr>
          <w:p w14:paraId="37B5D629" w14:textId="77777777" w:rsidR="00E1647E" w:rsidRPr="00272385" w:rsidRDefault="00E1647E" w:rsidP="004342A5">
            <w:pPr>
              <w:spacing w:beforeLines="10" w:before="24" w:afterLines="10" w:after="24" w:line="240" w:lineRule="auto"/>
              <w:rPr>
                <w:rFonts w:eastAsia="Times New Roman" w:cstheme="minorHAnsi"/>
                <w:b/>
                <w:bCs/>
                <w:color w:val="FFFFFF" w:themeColor="background1"/>
                <w:lang w:val="en-GB" w:eastAsia="fr-BE"/>
              </w:rPr>
            </w:pPr>
            <w:r w:rsidRPr="00272385">
              <w:rPr>
                <w:rFonts w:eastAsia="Times New Roman" w:cstheme="minorHAnsi"/>
                <w:b/>
                <w:bCs/>
                <w:color w:val="FFFFFF" w:themeColor="background1"/>
                <w:lang w:val="en-GB" w:eastAsia="fr-BE"/>
              </w:rPr>
              <w:t>Contact and update</w:t>
            </w:r>
          </w:p>
        </w:tc>
        <w:tc>
          <w:tcPr>
            <w:tcW w:w="6982" w:type="dxa"/>
            <w:tcBorders>
              <w:top w:val="nil"/>
              <w:bottom w:val="nil"/>
              <w:right w:val="single" w:sz="12" w:space="0" w:color="5BAA9D" w:themeColor="accent1"/>
            </w:tcBorders>
            <w:shd w:val="clear" w:color="auto" w:fill="3C8EB2" w:themeFill="accent2"/>
            <w:vAlign w:val="center"/>
            <w:hideMark/>
          </w:tcPr>
          <w:p w14:paraId="55E5B0AB" w14:textId="77777777" w:rsidR="00E1647E" w:rsidRPr="00272385" w:rsidRDefault="00E1647E" w:rsidP="004342A5">
            <w:pPr>
              <w:spacing w:beforeLines="10" w:before="24" w:afterLines="10" w:after="24" w:line="240" w:lineRule="auto"/>
              <w:rPr>
                <w:rFonts w:eastAsia="Times New Roman" w:cstheme="minorHAnsi"/>
                <w:color w:val="2C564F" w:themeColor="accent1" w:themeShade="80"/>
                <w:sz w:val="16"/>
                <w:szCs w:val="16"/>
                <w:lang w:val="en-GB" w:eastAsia="fr-BE"/>
              </w:rPr>
            </w:pPr>
            <w:r w:rsidRPr="00272385">
              <w:rPr>
                <w:rFonts w:eastAsia="Times New Roman" w:cstheme="minorHAnsi"/>
                <w:color w:val="2C564F" w:themeColor="accent1" w:themeShade="80"/>
                <w:sz w:val="16"/>
                <w:szCs w:val="16"/>
                <w:lang w:val="en-GB" w:eastAsia="fr-BE"/>
              </w:rPr>
              <w:t> </w:t>
            </w:r>
          </w:p>
        </w:tc>
      </w:tr>
      <w:tr w:rsidR="00DC3248" w:rsidRPr="00272385" w14:paraId="151DAB1E" w14:textId="77777777" w:rsidTr="3779A2E1">
        <w:trPr>
          <w:trHeight w:val="450"/>
        </w:trPr>
        <w:tc>
          <w:tcPr>
            <w:tcW w:w="1273" w:type="dxa"/>
            <w:tcBorders>
              <w:left w:val="single" w:sz="12" w:space="0" w:color="5BAA9D" w:themeColor="accent1"/>
            </w:tcBorders>
            <w:vAlign w:val="center"/>
          </w:tcPr>
          <w:p w14:paraId="0587F017" w14:textId="77777777" w:rsidR="00DC3248" w:rsidRPr="00272385" w:rsidRDefault="00DC3248" w:rsidP="004342A5">
            <w:pPr>
              <w:spacing w:beforeLines="10" w:before="24" w:afterLines="10" w:after="24" w:line="240" w:lineRule="auto"/>
              <w:jc w:val="center"/>
              <w:rPr>
                <w:rFonts w:eastAsia="Times New Roman" w:cstheme="minorHAnsi"/>
                <w:color w:val="2C564F" w:themeColor="accent1" w:themeShade="80"/>
                <w:szCs w:val="18"/>
                <w:lang w:val="en-GB" w:eastAsia="fr-BE"/>
              </w:rPr>
            </w:pPr>
          </w:p>
        </w:tc>
        <w:tc>
          <w:tcPr>
            <w:tcW w:w="2110" w:type="dxa"/>
            <w:gridSpan w:val="2"/>
            <w:tcBorders>
              <w:top w:val="nil"/>
              <w:bottom w:val="dotted" w:sz="4" w:space="0" w:color="428076" w:themeColor="accent1" w:themeShade="BF"/>
            </w:tcBorders>
            <w:vAlign w:val="center"/>
          </w:tcPr>
          <w:p w14:paraId="4B125AA0" w14:textId="77777777" w:rsidR="00DC3248" w:rsidRPr="00272385" w:rsidRDefault="00DC3248" w:rsidP="004342A5">
            <w:pPr>
              <w:spacing w:beforeLines="10" w:before="24" w:afterLines="10" w:after="24"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Contact organisation</w:t>
            </w:r>
          </w:p>
        </w:tc>
        <w:tc>
          <w:tcPr>
            <w:tcW w:w="6982" w:type="dxa"/>
            <w:tcBorders>
              <w:top w:val="nil"/>
              <w:bottom w:val="dotted" w:sz="4" w:space="0" w:color="428076" w:themeColor="accent1" w:themeShade="BF"/>
              <w:right w:val="single" w:sz="12" w:space="0" w:color="5BAA9D" w:themeColor="accent1"/>
            </w:tcBorders>
            <w:vAlign w:val="center"/>
          </w:tcPr>
          <w:p w14:paraId="1A2B95C7" w14:textId="12EFE053" w:rsidR="00B3071D" w:rsidRPr="00272385" w:rsidRDefault="00B3071D" w:rsidP="004342A5">
            <w:pPr>
              <w:spacing w:beforeLines="10" w:before="24" w:afterLines="10" w:after="24" w:line="240" w:lineRule="auto"/>
              <w:rPr>
                <w:rFonts w:eastAsia="Times New Roman"/>
                <w:sz w:val="16"/>
                <w:szCs w:val="16"/>
                <w:lang w:val="en-GB" w:eastAsia="fr-BE"/>
              </w:rPr>
            </w:pPr>
            <w:r w:rsidRPr="00272385">
              <w:rPr>
                <w:rFonts w:eastAsia="Times New Roman"/>
                <w:sz w:val="16"/>
                <w:szCs w:val="16"/>
                <w:lang w:val="en-GB" w:eastAsia="fr-BE"/>
              </w:rPr>
              <w:t>European Environment Agency (EEA)</w:t>
            </w:r>
          </w:p>
        </w:tc>
      </w:tr>
      <w:tr w:rsidR="00DC3248" w:rsidRPr="00272385" w14:paraId="7F3383EE" w14:textId="77777777" w:rsidTr="3779A2E1">
        <w:trPr>
          <w:trHeight w:val="450"/>
        </w:trPr>
        <w:tc>
          <w:tcPr>
            <w:tcW w:w="1273" w:type="dxa"/>
            <w:tcBorders>
              <w:left w:val="single" w:sz="12" w:space="0" w:color="5BAA9D" w:themeColor="accent1"/>
            </w:tcBorders>
            <w:vAlign w:val="center"/>
          </w:tcPr>
          <w:p w14:paraId="2E3A5DBD" w14:textId="77777777" w:rsidR="00DC3248" w:rsidRPr="00272385" w:rsidRDefault="00DC3248" w:rsidP="004342A5">
            <w:pPr>
              <w:spacing w:beforeLines="10" w:before="24" w:afterLines="10" w:after="24"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102AEC36" w14:textId="77777777" w:rsidR="00DC3248" w:rsidRPr="00272385" w:rsidRDefault="00DC3248" w:rsidP="004342A5">
            <w:pPr>
              <w:spacing w:beforeLines="10" w:before="24" w:afterLines="10" w:after="24"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Contact name</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59B49135" w14:textId="46955C88" w:rsidR="00B3071D" w:rsidRPr="00272385" w:rsidRDefault="06A2BCF0" w:rsidP="004342A5">
            <w:pPr>
              <w:spacing w:beforeLines="10" w:before="24" w:afterLines="10" w:after="24" w:line="240" w:lineRule="auto"/>
              <w:rPr>
                <w:rFonts w:eastAsia="Times New Roman"/>
                <w:sz w:val="16"/>
                <w:szCs w:val="16"/>
                <w:lang w:val="en-GB" w:eastAsia="fr-BE"/>
              </w:rPr>
            </w:pPr>
            <w:r w:rsidRPr="00272385">
              <w:rPr>
                <w:rFonts w:eastAsia="Times New Roman"/>
                <w:sz w:val="16"/>
                <w:szCs w:val="16"/>
                <w:lang w:val="en-GB" w:eastAsia="fr-BE"/>
              </w:rPr>
              <w:t>n/a</w:t>
            </w:r>
          </w:p>
        </w:tc>
      </w:tr>
      <w:tr w:rsidR="00DC3248" w:rsidRPr="00B56106" w14:paraId="14F2CE77" w14:textId="77777777" w:rsidTr="3779A2E1">
        <w:trPr>
          <w:trHeight w:val="450"/>
        </w:trPr>
        <w:tc>
          <w:tcPr>
            <w:tcW w:w="1273" w:type="dxa"/>
            <w:tcBorders>
              <w:left w:val="single" w:sz="12" w:space="0" w:color="5BAA9D" w:themeColor="accent1"/>
            </w:tcBorders>
            <w:vAlign w:val="center"/>
          </w:tcPr>
          <w:p w14:paraId="76592DF4" w14:textId="77777777" w:rsidR="00DC3248" w:rsidRPr="00272385" w:rsidRDefault="00DC3248" w:rsidP="004342A5">
            <w:pPr>
              <w:spacing w:beforeLines="10" w:before="24" w:afterLines="10" w:after="24"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dotted" w:sz="4" w:space="0" w:color="428076" w:themeColor="accent1" w:themeShade="BF"/>
            </w:tcBorders>
            <w:vAlign w:val="center"/>
          </w:tcPr>
          <w:p w14:paraId="5644EA71" w14:textId="77777777" w:rsidR="00DC3248" w:rsidRPr="00272385" w:rsidRDefault="00DC3248" w:rsidP="004342A5">
            <w:pPr>
              <w:spacing w:beforeLines="10" w:before="24" w:afterLines="10" w:after="24"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Contact email address</w:t>
            </w:r>
          </w:p>
        </w:tc>
        <w:tc>
          <w:tcPr>
            <w:tcW w:w="6982" w:type="dxa"/>
            <w:tcBorders>
              <w:top w:val="dotted" w:sz="4" w:space="0" w:color="428076" w:themeColor="accent1" w:themeShade="BF"/>
              <w:bottom w:val="dotted" w:sz="4" w:space="0" w:color="428076" w:themeColor="accent1" w:themeShade="BF"/>
              <w:right w:val="single" w:sz="12" w:space="0" w:color="5BAA9D" w:themeColor="accent1"/>
            </w:tcBorders>
            <w:vAlign w:val="center"/>
          </w:tcPr>
          <w:p w14:paraId="2CE2D42F" w14:textId="2EBA6501" w:rsidR="00B3071D" w:rsidRPr="00272385" w:rsidRDefault="00B56106" w:rsidP="004342A5">
            <w:pPr>
              <w:spacing w:beforeLines="10" w:before="24" w:afterLines="10" w:after="24" w:line="240" w:lineRule="auto"/>
              <w:rPr>
                <w:lang w:val="en-GB"/>
              </w:rPr>
            </w:pPr>
            <w:hyperlink r:id="rId23">
              <w:r w:rsidR="33D24F39" w:rsidRPr="00272385">
                <w:rPr>
                  <w:rStyle w:val="Hyperlink"/>
                  <w:rFonts w:ascii="Calibri" w:eastAsia="Calibri" w:hAnsi="Calibri" w:cs="Calibri"/>
                  <w:sz w:val="16"/>
                  <w:szCs w:val="16"/>
                  <w:lang w:val="en-GB"/>
                </w:rPr>
                <w:t>climate-energy@eea.europa.eu</w:t>
              </w:r>
            </w:hyperlink>
            <w:r w:rsidR="33D24F39" w:rsidRPr="00272385">
              <w:rPr>
                <w:rFonts w:ascii="Calibri" w:eastAsia="Calibri" w:hAnsi="Calibri" w:cs="Calibri"/>
                <w:color w:val="000000" w:themeColor="text1"/>
                <w:sz w:val="16"/>
                <w:szCs w:val="16"/>
                <w:lang w:val="en-GB"/>
              </w:rPr>
              <w:t xml:space="preserve"> </w:t>
            </w:r>
            <w:r w:rsidR="33D24F39" w:rsidRPr="00272385">
              <w:rPr>
                <w:rFonts w:ascii="Calibri" w:eastAsia="Calibri" w:hAnsi="Calibri" w:cs="Calibri"/>
                <w:sz w:val="16"/>
                <w:szCs w:val="16"/>
                <w:lang w:val="en-GB"/>
              </w:rPr>
              <w:t xml:space="preserve"> </w:t>
            </w:r>
          </w:p>
        </w:tc>
      </w:tr>
      <w:tr w:rsidR="00DC3248" w:rsidRPr="00272385" w14:paraId="54D1A27B" w14:textId="77777777" w:rsidTr="3779A2E1">
        <w:trPr>
          <w:trHeight w:val="450"/>
        </w:trPr>
        <w:tc>
          <w:tcPr>
            <w:tcW w:w="1273" w:type="dxa"/>
            <w:tcBorders>
              <w:left w:val="single" w:sz="12" w:space="0" w:color="5BAA9D" w:themeColor="accent1"/>
              <w:bottom w:val="single" w:sz="12" w:space="0" w:color="5BAA9D" w:themeColor="accent1"/>
            </w:tcBorders>
            <w:vAlign w:val="center"/>
          </w:tcPr>
          <w:p w14:paraId="41E77855" w14:textId="77777777" w:rsidR="00DC3248" w:rsidRPr="00272385" w:rsidRDefault="00DC3248" w:rsidP="004342A5">
            <w:pPr>
              <w:spacing w:beforeLines="10" w:before="24" w:afterLines="10" w:after="24" w:line="240" w:lineRule="auto"/>
              <w:jc w:val="center"/>
              <w:rPr>
                <w:rFonts w:eastAsia="Times New Roman" w:cstheme="minorHAnsi"/>
                <w:color w:val="2C564F" w:themeColor="accent1" w:themeShade="80"/>
                <w:szCs w:val="18"/>
                <w:lang w:val="en-GB" w:eastAsia="fr-BE"/>
              </w:rPr>
            </w:pPr>
          </w:p>
        </w:tc>
        <w:tc>
          <w:tcPr>
            <w:tcW w:w="2110" w:type="dxa"/>
            <w:gridSpan w:val="2"/>
            <w:tcBorders>
              <w:top w:val="dotted" w:sz="4" w:space="0" w:color="428076" w:themeColor="accent1" w:themeShade="BF"/>
              <w:bottom w:val="single" w:sz="12" w:space="0" w:color="5BAA9D" w:themeColor="accent1"/>
            </w:tcBorders>
            <w:vAlign w:val="center"/>
          </w:tcPr>
          <w:p w14:paraId="68002B32" w14:textId="77777777" w:rsidR="00DC3248" w:rsidRPr="00272385" w:rsidRDefault="00DC3248" w:rsidP="004342A5">
            <w:pPr>
              <w:spacing w:beforeLines="10" w:before="24" w:afterLines="10" w:after="24" w:line="240" w:lineRule="auto"/>
              <w:rPr>
                <w:rFonts w:eastAsia="Times New Roman" w:cstheme="minorHAnsi"/>
                <w:sz w:val="18"/>
                <w:szCs w:val="18"/>
                <w:lang w:val="en-GB" w:eastAsia="fr-BE"/>
              </w:rPr>
            </w:pPr>
            <w:r w:rsidRPr="00272385">
              <w:rPr>
                <w:rFonts w:eastAsia="Times New Roman" w:cstheme="minorHAnsi"/>
                <w:sz w:val="18"/>
                <w:szCs w:val="18"/>
                <w:lang w:val="en-GB" w:eastAsia="fr-BE"/>
              </w:rPr>
              <w:t>Metadata update</w:t>
            </w:r>
          </w:p>
        </w:tc>
        <w:tc>
          <w:tcPr>
            <w:tcW w:w="6982" w:type="dxa"/>
            <w:tcBorders>
              <w:top w:val="dotted" w:sz="4" w:space="0" w:color="428076" w:themeColor="accent1" w:themeShade="BF"/>
              <w:bottom w:val="single" w:sz="12" w:space="0" w:color="5BAA9D" w:themeColor="accent1"/>
              <w:right w:val="single" w:sz="12" w:space="0" w:color="5BAA9D" w:themeColor="accent1"/>
            </w:tcBorders>
            <w:vAlign w:val="center"/>
          </w:tcPr>
          <w:p w14:paraId="21A464BC" w14:textId="10F5B187" w:rsidR="00B3071D" w:rsidRPr="00272385" w:rsidRDefault="00AE3DCA" w:rsidP="004342A5">
            <w:pPr>
              <w:spacing w:beforeLines="10" w:before="24" w:afterLines="10" w:after="24" w:line="240" w:lineRule="auto"/>
              <w:rPr>
                <w:rFonts w:eastAsia="Times New Roman"/>
                <w:sz w:val="16"/>
                <w:szCs w:val="16"/>
                <w:lang w:val="en-GB" w:eastAsia="fr-BE"/>
              </w:rPr>
            </w:pPr>
            <w:r w:rsidRPr="00B56106">
              <w:rPr>
                <w:rFonts w:eastAsia="Times New Roman"/>
                <w:sz w:val="16"/>
                <w:szCs w:val="16"/>
                <w:lang w:val="en-GB" w:eastAsia="fr-BE"/>
              </w:rPr>
              <w:t xml:space="preserve">Published: </w:t>
            </w:r>
            <w:r w:rsidR="00B56106" w:rsidRPr="00B56106">
              <w:rPr>
                <w:rFonts w:eastAsia="Times New Roman"/>
                <w:sz w:val="16"/>
                <w:szCs w:val="16"/>
                <w:lang w:val="en-GB" w:eastAsia="fr-BE"/>
              </w:rPr>
              <w:t>30/10</w:t>
            </w:r>
            <w:r w:rsidR="093A85C0" w:rsidRPr="00B56106">
              <w:rPr>
                <w:rFonts w:eastAsia="Times New Roman"/>
                <w:sz w:val="16"/>
                <w:szCs w:val="16"/>
                <w:lang w:val="en-GB" w:eastAsia="fr-BE"/>
              </w:rPr>
              <w:t>/2025</w:t>
            </w:r>
          </w:p>
          <w:p w14:paraId="69860097" w14:textId="2BFE1DAF" w:rsidR="00AE3DCA" w:rsidRPr="00272385" w:rsidRDefault="00AE3DCA" w:rsidP="004342A5">
            <w:pPr>
              <w:spacing w:beforeLines="10" w:before="24" w:afterLines="10" w:after="24" w:line="240" w:lineRule="auto"/>
              <w:rPr>
                <w:rFonts w:eastAsia="Times New Roman"/>
                <w:sz w:val="16"/>
                <w:szCs w:val="16"/>
                <w:lang w:val="en-GB" w:eastAsia="fr-BE"/>
              </w:rPr>
            </w:pPr>
            <w:r w:rsidRPr="00272385">
              <w:rPr>
                <w:rFonts w:eastAsia="Times New Roman"/>
                <w:sz w:val="16"/>
                <w:szCs w:val="16"/>
                <w:lang w:val="en-GB" w:eastAsia="fr-BE"/>
              </w:rPr>
              <w:t>Modified: n/a</w:t>
            </w:r>
          </w:p>
        </w:tc>
      </w:tr>
    </w:tbl>
    <w:p w14:paraId="09532BAB" w14:textId="77777777" w:rsidR="002722B9" w:rsidRPr="004342A5" w:rsidRDefault="002722B9" w:rsidP="00443EA8">
      <w:pPr>
        <w:rPr>
          <w:rFonts w:cstheme="minorHAnsi"/>
          <w:sz w:val="4"/>
          <w:szCs w:val="4"/>
          <w:lang w:val="en-GB"/>
        </w:rPr>
      </w:pPr>
    </w:p>
    <w:sectPr w:rsidR="002722B9" w:rsidRPr="004342A5" w:rsidSect="00C5188D">
      <w:pgSz w:w="11906" w:h="16838"/>
      <w:pgMar w:top="709" w:right="1440"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63AD" w14:textId="77777777" w:rsidR="00E6615C" w:rsidRDefault="00E6615C" w:rsidP="009E2DCD">
      <w:pPr>
        <w:spacing w:after="0" w:line="240" w:lineRule="auto"/>
      </w:pPr>
      <w:r>
        <w:separator/>
      </w:r>
    </w:p>
  </w:endnote>
  <w:endnote w:type="continuationSeparator" w:id="0">
    <w:p w14:paraId="4E58FED2" w14:textId="77777777" w:rsidR="00E6615C" w:rsidRDefault="00E6615C" w:rsidP="009E2DCD">
      <w:pPr>
        <w:spacing w:after="0" w:line="240" w:lineRule="auto"/>
      </w:pPr>
      <w:r>
        <w:continuationSeparator/>
      </w:r>
    </w:p>
  </w:endnote>
  <w:endnote w:type="continuationNotice" w:id="1">
    <w:p w14:paraId="481EB743" w14:textId="77777777" w:rsidR="00E6615C" w:rsidRDefault="00E66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38F21" w14:textId="77777777" w:rsidR="00E6615C" w:rsidRDefault="00E6615C" w:rsidP="009E2DCD">
      <w:pPr>
        <w:spacing w:after="0" w:line="240" w:lineRule="auto"/>
      </w:pPr>
      <w:r>
        <w:separator/>
      </w:r>
    </w:p>
  </w:footnote>
  <w:footnote w:type="continuationSeparator" w:id="0">
    <w:p w14:paraId="17887EA1" w14:textId="77777777" w:rsidR="00E6615C" w:rsidRDefault="00E6615C" w:rsidP="009E2DCD">
      <w:pPr>
        <w:spacing w:after="0" w:line="240" w:lineRule="auto"/>
      </w:pPr>
      <w:r>
        <w:continuationSeparator/>
      </w:r>
    </w:p>
  </w:footnote>
  <w:footnote w:type="continuationNotice" w:id="1">
    <w:p w14:paraId="3387E2B3" w14:textId="77777777" w:rsidR="00E6615C" w:rsidRDefault="00E6615C">
      <w:pPr>
        <w:spacing w:after="0" w:line="240" w:lineRule="auto"/>
      </w:pPr>
    </w:p>
  </w:footnote>
  <w:footnote w:id="2">
    <w:p w14:paraId="3855AB2E" w14:textId="354830FA" w:rsidR="009E2DCD" w:rsidRPr="008763BC" w:rsidRDefault="009E2DCD">
      <w:pPr>
        <w:pStyle w:val="FootnoteText"/>
        <w:rPr>
          <w:lang w:val="en-GB"/>
        </w:rPr>
      </w:pPr>
      <w:r w:rsidRPr="004342A5">
        <w:rPr>
          <w:rStyle w:val="FootnoteReference"/>
          <w:sz w:val="16"/>
          <w:szCs w:val="16"/>
        </w:rPr>
        <w:footnoteRef/>
      </w:r>
      <w:r w:rsidRPr="004342A5">
        <w:rPr>
          <w:sz w:val="16"/>
          <w:szCs w:val="16"/>
          <w:lang w:val="en-GB"/>
        </w:rPr>
        <w:t xml:space="preserve"> </w:t>
      </w:r>
      <w:r w:rsidR="0079413C" w:rsidRPr="004342A5">
        <w:rPr>
          <w:sz w:val="16"/>
          <w:szCs w:val="16"/>
          <w:lang w:val="en-GB"/>
        </w:rPr>
        <w:t>An</w:t>
      </w:r>
      <w:r w:rsidR="00900D39" w:rsidRPr="004342A5">
        <w:rPr>
          <w:sz w:val="16"/>
          <w:szCs w:val="16"/>
          <w:lang w:val="en-GB"/>
        </w:rPr>
        <w:t xml:space="preserve"> ETC is a </w:t>
      </w:r>
      <w:r w:rsidR="0079413C" w:rsidRPr="004342A5">
        <w:rPr>
          <w:sz w:val="16"/>
          <w:szCs w:val="16"/>
          <w:lang w:val="en-GB"/>
        </w:rPr>
        <w:t>consortium of organisations</w:t>
      </w:r>
      <w:r w:rsidRPr="004342A5">
        <w:rPr>
          <w:sz w:val="16"/>
          <w:szCs w:val="16"/>
          <w:lang w:val="en-GB"/>
        </w:rPr>
        <w:t xml:space="preserve"> in EEA member countries with expertise in</w:t>
      </w:r>
      <w:r w:rsidR="0079413C" w:rsidRPr="004342A5">
        <w:rPr>
          <w:sz w:val="16"/>
          <w:szCs w:val="16"/>
          <w:lang w:val="en-GB"/>
        </w:rPr>
        <w:t xml:space="preserve"> a</w:t>
      </w:r>
      <w:r w:rsidRPr="004342A5">
        <w:rPr>
          <w:sz w:val="16"/>
          <w:szCs w:val="16"/>
          <w:lang w:val="en-GB"/>
        </w:rPr>
        <w:t xml:space="preserve"> specific environmental area</w:t>
      </w:r>
      <w:r w:rsidR="0079413C" w:rsidRPr="004342A5">
        <w:rPr>
          <w:sz w:val="16"/>
          <w:szCs w:val="16"/>
          <w:lang w:val="en-GB"/>
        </w:rPr>
        <w:t xml:space="preserve">. ETCs are </w:t>
      </w:r>
      <w:r w:rsidRPr="004342A5">
        <w:rPr>
          <w:sz w:val="16"/>
          <w:szCs w:val="16"/>
          <w:lang w:val="en-GB"/>
        </w:rPr>
        <w:t>contracted by the EEA to support the implementation of the EEA work programmes.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E1F4B"/>
    <w:multiLevelType w:val="hybridMultilevel"/>
    <w:tmpl w:val="6786F74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1E7816E3"/>
    <w:multiLevelType w:val="hybridMultilevel"/>
    <w:tmpl w:val="AD4605B2"/>
    <w:lvl w:ilvl="0" w:tplc="40AC97F8">
      <w:numFmt w:val="bullet"/>
      <w:lvlText w:val=""/>
      <w:lvlJc w:val="left"/>
      <w:pPr>
        <w:ind w:left="720" w:hanging="360"/>
      </w:pPr>
      <w:rPr>
        <w:rFonts w:ascii="Wingdings" w:eastAsia="Times New Roman"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A524481"/>
    <w:multiLevelType w:val="hybridMultilevel"/>
    <w:tmpl w:val="7C6245D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D1F31C7"/>
    <w:multiLevelType w:val="hybridMultilevel"/>
    <w:tmpl w:val="AE62912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5D854FA"/>
    <w:multiLevelType w:val="hybridMultilevel"/>
    <w:tmpl w:val="7A0802C4"/>
    <w:lvl w:ilvl="0" w:tplc="10000001">
      <w:start w:val="1"/>
      <w:numFmt w:val="bullet"/>
      <w:lvlText w:val=""/>
      <w:lvlJc w:val="left"/>
      <w:pPr>
        <w:ind w:left="1472" w:hanging="360"/>
      </w:pPr>
      <w:rPr>
        <w:rFonts w:ascii="Symbol" w:hAnsi="Symbol" w:hint="default"/>
      </w:rPr>
    </w:lvl>
    <w:lvl w:ilvl="1" w:tplc="10000003" w:tentative="1">
      <w:start w:val="1"/>
      <w:numFmt w:val="bullet"/>
      <w:lvlText w:val="o"/>
      <w:lvlJc w:val="left"/>
      <w:pPr>
        <w:ind w:left="2192" w:hanging="360"/>
      </w:pPr>
      <w:rPr>
        <w:rFonts w:ascii="Courier New" w:hAnsi="Courier New" w:cs="Courier New" w:hint="default"/>
      </w:rPr>
    </w:lvl>
    <w:lvl w:ilvl="2" w:tplc="10000005" w:tentative="1">
      <w:start w:val="1"/>
      <w:numFmt w:val="bullet"/>
      <w:lvlText w:val=""/>
      <w:lvlJc w:val="left"/>
      <w:pPr>
        <w:ind w:left="2912" w:hanging="360"/>
      </w:pPr>
      <w:rPr>
        <w:rFonts w:ascii="Wingdings" w:hAnsi="Wingdings" w:hint="default"/>
      </w:rPr>
    </w:lvl>
    <w:lvl w:ilvl="3" w:tplc="10000001" w:tentative="1">
      <w:start w:val="1"/>
      <w:numFmt w:val="bullet"/>
      <w:lvlText w:val=""/>
      <w:lvlJc w:val="left"/>
      <w:pPr>
        <w:ind w:left="3632" w:hanging="360"/>
      </w:pPr>
      <w:rPr>
        <w:rFonts w:ascii="Symbol" w:hAnsi="Symbol" w:hint="default"/>
      </w:rPr>
    </w:lvl>
    <w:lvl w:ilvl="4" w:tplc="10000003" w:tentative="1">
      <w:start w:val="1"/>
      <w:numFmt w:val="bullet"/>
      <w:lvlText w:val="o"/>
      <w:lvlJc w:val="left"/>
      <w:pPr>
        <w:ind w:left="4352" w:hanging="360"/>
      </w:pPr>
      <w:rPr>
        <w:rFonts w:ascii="Courier New" w:hAnsi="Courier New" w:cs="Courier New" w:hint="default"/>
      </w:rPr>
    </w:lvl>
    <w:lvl w:ilvl="5" w:tplc="10000005" w:tentative="1">
      <w:start w:val="1"/>
      <w:numFmt w:val="bullet"/>
      <w:lvlText w:val=""/>
      <w:lvlJc w:val="left"/>
      <w:pPr>
        <w:ind w:left="5072" w:hanging="360"/>
      </w:pPr>
      <w:rPr>
        <w:rFonts w:ascii="Wingdings" w:hAnsi="Wingdings" w:hint="default"/>
      </w:rPr>
    </w:lvl>
    <w:lvl w:ilvl="6" w:tplc="10000001" w:tentative="1">
      <w:start w:val="1"/>
      <w:numFmt w:val="bullet"/>
      <w:lvlText w:val=""/>
      <w:lvlJc w:val="left"/>
      <w:pPr>
        <w:ind w:left="5792" w:hanging="360"/>
      </w:pPr>
      <w:rPr>
        <w:rFonts w:ascii="Symbol" w:hAnsi="Symbol" w:hint="default"/>
      </w:rPr>
    </w:lvl>
    <w:lvl w:ilvl="7" w:tplc="10000003" w:tentative="1">
      <w:start w:val="1"/>
      <w:numFmt w:val="bullet"/>
      <w:lvlText w:val="o"/>
      <w:lvlJc w:val="left"/>
      <w:pPr>
        <w:ind w:left="6512" w:hanging="360"/>
      </w:pPr>
      <w:rPr>
        <w:rFonts w:ascii="Courier New" w:hAnsi="Courier New" w:cs="Courier New" w:hint="default"/>
      </w:rPr>
    </w:lvl>
    <w:lvl w:ilvl="8" w:tplc="10000005" w:tentative="1">
      <w:start w:val="1"/>
      <w:numFmt w:val="bullet"/>
      <w:lvlText w:val=""/>
      <w:lvlJc w:val="left"/>
      <w:pPr>
        <w:ind w:left="7232" w:hanging="360"/>
      </w:pPr>
      <w:rPr>
        <w:rFonts w:ascii="Wingdings" w:hAnsi="Wingdings" w:hint="default"/>
      </w:rPr>
    </w:lvl>
  </w:abstractNum>
  <w:abstractNum w:abstractNumId="5" w15:restartNumberingAfterBreak="0">
    <w:nsid w:val="49A577DB"/>
    <w:multiLevelType w:val="hybridMultilevel"/>
    <w:tmpl w:val="E23CB34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50C71EE6"/>
    <w:multiLevelType w:val="hybridMultilevel"/>
    <w:tmpl w:val="08781CC2"/>
    <w:lvl w:ilvl="0" w:tplc="10000001">
      <w:start w:val="1"/>
      <w:numFmt w:val="bullet"/>
      <w:lvlText w:val=""/>
      <w:lvlJc w:val="left"/>
      <w:pPr>
        <w:ind w:left="752" w:hanging="360"/>
      </w:pPr>
      <w:rPr>
        <w:rFonts w:ascii="Symbol" w:hAnsi="Symbol" w:hint="default"/>
      </w:rPr>
    </w:lvl>
    <w:lvl w:ilvl="1" w:tplc="10000003" w:tentative="1">
      <w:start w:val="1"/>
      <w:numFmt w:val="bullet"/>
      <w:lvlText w:val="o"/>
      <w:lvlJc w:val="left"/>
      <w:pPr>
        <w:ind w:left="1472" w:hanging="360"/>
      </w:pPr>
      <w:rPr>
        <w:rFonts w:ascii="Courier New" w:hAnsi="Courier New" w:cs="Courier New" w:hint="default"/>
      </w:rPr>
    </w:lvl>
    <w:lvl w:ilvl="2" w:tplc="10000005" w:tentative="1">
      <w:start w:val="1"/>
      <w:numFmt w:val="bullet"/>
      <w:lvlText w:val=""/>
      <w:lvlJc w:val="left"/>
      <w:pPr>
        <w:ind w:left="2192" w:hanging="360"/>
      </w:pPr>
      <w:rPr>
        <w:rFonts w:ascii="Wingdings" w:hAnsi="Wingdings" w:hint="default"/>
      </w:rPr>
    </w:lvl>
    <w:lvl w:ilvl="3" w:tplc="10000001" w:tentative="1">
      <w:start w:val="1"/>
      <w:numFmt w:val="bullet"/>
      <w:lvlText w:val=""/>
      <w:lvlJc w:val="left"/>
      <w:pPr>
        <w:ind w:left="2912" w:hanging="360"/>
      </w:pPr>
      <w:rPr>
        <w:rFonts w:ascii="Symbol" w:hAnsi="Symbol" w:hint="default"/>
      </w:rPr>
    </w:lvl>
    <w:lvl w:ilvl="4" w:tplc="10000003" w:tentative="1">
      <w:start w:val="1"/>
      <w:numFmt w:val="bullet"/>
      <w:lvlText w:val="o"/>
      <w:lvlJc w:val="left"/>
      <w:pPr>
        <w:ind w:left="3632" w:hanging="360"/>
      </w:pPr>
      <w:rPr>
        <w:rFonts w:ascii="Courier New" w:hAnsi="Courier New" w:cs="Courier New" w:hint="default"/>
      </w:rPr>
    </w:lvl>
    <w:lvl w:ilvl="5" w:tplc="10000005" w:tentative="1">
      <w:start w:val="1"/>
      <w:numFmt w:val="bullet"/>
      <w:lvlText w:val=""/>
      <w:lvlJc w:val="left"/>
      <w:pPr>
        <w:ind w:left="4352" w:hanging="360"/>
      </w:pPr>
      <w:rPr>
        <w:rFonts w:ascii="Wingdings" w:hAnsi="Wingdings" w:hint="default"/>
      </w:rPr>
    </w:lvl>
    <w:lvl w:ilvl="6" w:tplc="10000001" w:tentative="1">
      <w:start w:val="1"/>
      <w:numFmt w:val="bullet"/>
      <w:lvlText w:val=""/>
      <w:lvlJc w:val="left"/>
      <w:pPr>
        <w:ind w:left="5072" w:hanging="360"/>
      </w:pPr>
      <w:rPr>
        <w:rFonts w:ascii="Symbol" w:hAnsi="Symbol" w:hint="default"/>
      </w:rPr>
    </w:lvl>
    <w:lvl w:ilvl="7" w:tplc="10000003" w:tentative="1">
      <w:start w:val="1"/>
      <w:numFmt w:val="bullet"/>
      <w:lvlText w:val="o"/>
      <w:lvlJc w:val="left"/>
      <w:pPr>
        <w:ind w:left="5792" w:hanging="360"/>
      </w:pPr>
      <w:rPr>
        <w:rFonts w:ascii="Courier New" w:hAnsi="Courier New" w:cs="Courier New" w:hint="default"/>
      </w:rPr>
    </w:lvl>
    <w:lvl w:ilvl="8" w:tplc="10000005" w:tentative="1">
      <w:start w:val="1"/>
      <w:numFmt w:val="bullet"/>
      <w:lvlText w:val=""/>
      <w:lvlJc w:val="left"/>
      <w:pPr>
        <w:ind w:left="6512" w:hanging="360"/>
      </w:pPr>
      <w:rPr>
        <w:rFonts w:ascii="Wingdings" w:hAnsi="Wingdings" w:hint="default"/>
      </w:rPr>
    </w:lvl>
  </w:abstractNum>
  <w:abstractNum w:abstractNumId="7" w15:restartNumberingAfterBreak="0">
    <w:nsid w:val="52014152"/>
    <w:multiLevelType w:val="hybridMultilevel"/>
    <w:tmpl w:val="33303FC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AEC53E3"/>
    <w:multiLevelType w:val="hybridMultilevel"/>
    <w:tmpl w:val="D9AAD89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5C655FF7"/>
    <w:multiLevelType w:val="hybridMultilevel"/>
    <w:tmpl w:val="918E696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5DCC3561"/>
    <w:multiLevelType w:val="hybridMultilevel"/>
    <w:tmpl w:val="307A0FFA"/>
    <w:lvl w:ilvl="0" w:tplc="10000001">
      <w:start w:val="1"/>
      <w:numFmt w:val="bullet"/>
      <w:lvlText w:val=""/>
      <w:lvlJc w:val="left"/>
      <w:pPr>
        <w:ind w:left="752" w:hanging="360"/>
      </w:pPr>
      <w:rPr>
        <w:rFonts w:ascii="Symbol" w:hAnsi="Symbol" w:hint="default"/>
      </w:rPr>
    </w:lvl>
    <w:lvl w:ilvl="1" w:tplc="10000003" w:tentative="1">
      <w:start w:val="1"/>
      <w:numFmt w:val="bullet"/>
      <w:lvlText w:val="o"/>
      <w:lvlJc w:val="left"/>
      <w:pPr>
        <w:ind w:left="1472" w:hanging="360"/>
      </w:pPr>
      <w:rPr>
        <w:rFonts w:ascii="Courier New" w:hAnsi="Courier New" w:cs="Courier New" w:hint="default"/>
      </w:rPr>
    </w:lvl>
    <w:lvl w:ilvl="2" w:tplc="10000005" w:tentative="1">
      <w:start w:val="1"/>
      <w:numFmt w:val="bullet"/>
      <w:lvlText w:val=""/>
      <w:lvlJc w:val="left"/>
      <w:pPr>
        <w:ind w:left="2192" w:hanging="360"/>
      </w:pPr>
      <w:rPr>
        <w:rFonts w:ascii="Wingdings" w:hAnsi="Wingdings" w:hint="default"/>
      </w:rPr>
    </w:lvl>
    <w:lvl w:ilvl="3" w:tplc="10000001" w:tentative="1">
      <w:start w:val="1"/>
      <w:numFmt w:val="bullet"/>
      <w:lvlText w:val=""/>
      <w:lvlJc w:val="left"/>
      <w:pPr>
        <w:ind w:left="2912" w:hanging="360"/>
      </w:pPr>
      <w:rPr>
        <w:rFonts w:ascii="Symbol" w:hAnsi="Symbol" w:hint="default"/>
      </w:rPr>
    </w:lvl>
    <w:lvl w:ilvl="4" w:tplc="10000003" w:tentative="1">
      <w:start w:val="1"/>
      <w:numFmt w:val="bullet"/>
      <w:lvlText w:val="o"/>
      <w:lvlJc w:val="left"/>
      <w:pPr>
        <w:ind w:left="3632" w:hanging="360"/>
      </w:pPr>
      <w:rPr>
        <w:rFonts w:ascii="Courier New" w:hAnsi="Courier New" w:cs="Courier New" w:hint="default"/>
      </w:rPr>
    </w:lvl>
    <w:lvl w:ilvl="5" w:tplc="10000005" w:tentative="1">
      <w:start w:val="1"/>
      <w:numFmt w:val="bullet"/>
      <w:lvlText w:val=""/>
      <w:lvlJc w:val="left"/>
      <w:pPr>
        <w:ind w:left="4352" w:hanging="360"/>
      </w:pPr>
      <w:rPr>
        <w:rFonts w:ascii="Wingdings" w:hAnsi="Wingdings" w:hint="default"/>
      </w:rPr>
    </w:lvl>
    <w:lvl w:ilvl="6" w:tplc="10000001" w:tentative="1">
      <w:start w:val="1"/>
      <w:numFmt w:val="bullet"/>
      <w:lvlText w:val=""/>
      <w:lvlJc w:val="left"/>
      <w:pPr>
        <w:ind w:left="5072" w:hanging="360"/>
      </w:pPr>
      <w:rPr>
        <w:rFonts w:ascii="Symbol" w:hAnsi="Symbol" w:hint="default"/>
      </w:rPr>
    </w:lvl>
    <w:lvl w:ilvl="7" w:tplc="10000003" w:tentative="1">
      <w:start w:val="1"/>
      <w:numFmt w:val="bullet"/>
      <w:lvlText w:val="o"/>
      <w:lvlJc w:val="left"/>
      <w:pPr>
        <w:ind w:left="5792" w:hanging="360"/>
      </w:pPr>
      <w:rPr>
        <w:rFonts w:ascii="Courier New" w:hAnsi="Courier New" w:cs="Courier New" w:hint="default"/>
      </w:rPr>
    </w:lvl>
    <w:lvl w:ilvl="8" w:tplc="10000005" w:tentative="1">
      <w:start w:val="1"/>
      <w:numFmt w:val="bullet"/>
      <w:lvlText w:val=""/>
      <w:lvlJc w:val="left"/>
      <w:pPr>
        <w:ind w:left="6512" w:hanging="360"/>
      </w:pPr>
      <w:rPr>
        <w:rFonts w:ascii="Wingdings" w:hAnsi="Wingdings" w:hint="default"/>
      </w:rPr>
    </w:lvl>
  </w:abstractNum>
  <w:abstractNum w:abstractNumId="11" w15:restartNumberingAfterBreak="0">
    <w:nsid w:val="673B0FF9"/>
    <w:multiLevelType w:val="hybridMultilevel"/>
    <w:tmpl w:val="EAE4B6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99205A"/>
    <w:multiLevelType w:val="hybridMultilevel"/>
    <w:tmpl w:val="C1FA1A5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77BA5F23"/>
    <w:multiLevelType w:val="hybridMultilevel"/>
    <w:tmpl w:val="062E533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78D60829"/>
    <w:multiLevelType w:val="hybridMultilevel"/>
    <w:tmpl w:val="67CEAAE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7A684C56"/>
    <w:multiLevelType w:val="hybridMultilevel"/>
    <w:tmpl w:val="6818DBE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7"/>
  </w:num>
  <w:num w:numId="4">
    <w:abstractNumId w:val="2"/>
  </w:num>
  <w:num w:numId="5">
    <w:abstractNumId w:val="5"/>
  </w:num>
  <w:num w:numId="6">
    <w:abstractNumId w:val="8"/>
  </w:num>
  <w:num w:numId="7">
    <w:abstractNumId w:val="0"/>
  </w:num>
  <w:num w:numId="8">
    <w:abstractNumId w:val="3"/>
  </w:num>
  <w:num w:numId="9">
    <w:abstractNumId w:val="6"/>
  </w:num>
  <w:num w:numId="10">
    <w:abstractNumId w:val="4"/>
  </w:num>
  <w:num w:numId="11">
    <w:abstractNumId w:val="9"/>
  </w:num>
  <w:num w:numId="12">
    <w:abstractNumId w:val="14"/>
  </w:num>
  <w:num w:numId="13">
    <w:abstractNumId w:val="1"/>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F1E11"/>
    <w:rsid w:val="0000197D"/>
    <w:rsid w:val="00006564"/>
    <w:rsid w:val="00011136"/>
    <w:rsid w:val="000131BD"/>
    <w:rsid w:val="00014B77"/>
    <w:rsid w:val="00026EAD"/>
    <w:rsid w:val="00027171"/>
    <w:rsid w:val="000305B0"/>
    <w:rsid w:val="000320AB"/>
    <w:rsid w:val="000348C2"/>
    <w:rsid w:val="00036BFC"/>
    <w:rsid w:val="00040293"/>
    <w:rsid w:val="0005079B"/>
    <w:rsid w:val="000577EF"/>
    <w:rsid w:val="00061B22"/>
    <w:rsid w:val="00062056"/>
    <w:rsid w:val="00063D90"/>
    <w:rsid w:val="000652DD"/>
    <w:rsid w:val="0008559F"/>
    <w:rsid w:val="00085807"/>
    <w:rsid w:val="00092F3D"/>
    <w:rsid w:val="000A5951"/>
    <w:rsid w:val="000A5B3B"/>
    <w:rsid w:val="000A74D2"/>
    <w:rsid w:val="000C3D22"/>
    <w:rsid w:val="000C48BA"/>
    <w:rsid w:val="000D3CFD"/>
    <w:rsid w:val="000D7C3F"/>
    <w:rsid w:val="000E5773"/>
    <w:rsid w:val="000E61C1"/>
    <w:rsid w:val="000F15D5"/>
    <w:rsid w:val="000F3D45"/>
    <w:rsid w:val="000F6D32"/>
    <w:rsid w:val="000F77F8"/>
    <w:rsid w:val="001000EE"/>
    <w:rsid w:val="00103707"/>
    <w:rsid w:val="00105254"/>
    <w:rsid w:val="00114949"/>
    <w:rsid w:val="0012101B"/>
    <w:rsid w:val="00125852"/>
    <w:rsid w:val="00125A8C"/>
    <w:rsid w:val="00131AE2"/>
    <w:rsid w:val="00133862"/>
    <w:rsid w:val="00133F6C"/>
    <w:rsid w:val="00143F22"/>
    <w:rsid w:val="001450D2"/>
    <w:rsid w:val="0015100C"/>
    <w:rsid w:val="001617D3"/>
    <w:rsid w:val="001620B5"/>
    <w:rsid w:val="00162F26"/>
    <w:rsid w:val="00165508"/>
    <w:rsid w:val="00171DF2"/>
    <w:rsid w:val="00176E90"/>
    <w:rsid w:val="00187FA7"/>
    <w:rsid w:val="001902B3"/>
    <w:rsid w:val="00193B1D"/>
    <w:rsid w:val="001942B4"/>
    <w:rsid w:val="001973BB"/>
    <w:rsid w:val="00197FDE"/>
    <w:rsid w:val="001A06D9"/>
    <w:rsid w:val="001C4D1B"/>
    <w:rsid w:val="001C509D"/>
    <w:rsid w:val="001C7751"/>
    <w:rsid w:val="001D1AA5"/>
    <w:rsid w:val="001D2655"/>
    <w:rsid w:val="001D5AC7"/>
    <w:rsid w:val="001D5AD2"/>
    <w:rsid w:val="001D7AF4"/>
    <w:rsid w:val="001E234D"/>
    <w:rsid w:val="001E2ED0"/>
    <w:rsid w:val="001E4DB7"/>
    <w:rsid w:val="001E7526"/>
    <w:rsid w:val="0020347A"/>
    <w:rsid w:val="00210662"/>
    <w:rsid w:val="00214DB8"/>
    <w:rsid w:val="00215F5B"/>
    <w:rsid w:val="00216872"/>
    <w:rsid w:val="00230C57"/>
    <w:rsid w:val="00232C29"/>
    <w:rsid w:val="00233061"/>
    <w:rsid w:val="002337A1"/>
    <w:rsid w:val="0024517D"/>
    <w:rsid w:val="002455A8"/>
    <w:rsid w:val="00246006"/>
    <w:rsid w:val="00252D99"/>
    <w:rsid w:val="002572AE"/>
    <w:rsid w:val="00261142"/>
    <w:rsid w:val="00267CB5"/>
    <w:rsid w:val="002722B9"/>
    <w:rsid w:val="00272385"/>
    <w:rsid w:val="00275BE3"/>
    <w:rsid w:val="00280841"/>
    <w:rsid w:val="002813BE"/>
    <w:rsid w:val="00282144"/>
    <w:rsid w:val="00283A03"/>
    <w:rsid w:val="0028567A"/>
    <w:rsid w:val="00294A69"/>
    <w:rsid w:val="002A6638"/>
    <w:rsid w:val="002C1829"/>
    <w:rsid w:val="002C2236"/>
    <w:rsid w:val="002D0246"/>
    <w:rsid w:val="002D05D8"/>
    <w:rsid w:val="002D28A3"/>
    <w:rsid w:val="002E665D"/>
    <w:rsid w:val="002F28E2"/>
    <w:rsid w:val="002F4893"/>
    <w:rsid w:val="003003CA"/>
    <w:rsid w:val="003051F4"/>
    <w:rsid w:val="00314911"/>
    <w:rsid w:val="00317788"/>
    <w:rsid w:val="00317873"/>
    <w:rsid w:val="003204E3"/>
    <w:rsid w:val="00321DD5"/>
    <w:rsid w:val="0032459A"/>
    <w:rsid w:val="00329975"/>
    <w:rsid w:val="003326F0"/>
    <w:rsid w:val="00337D8A"/>
    <w:rsid w:val="00337DFC"/>
    <w:rsid w:val="0036403C"/>
    <w:rsid w:val="00374631"/>
    <w:rsid w:val="003844FC"/>
    <w:rsid w:val="00391A24"/>
    <w:rsid w:val="003A41DE"/>
    <w:rsid w:val="003B0C07"/>
    <w:rsid w:val="003B4606"/>
    <w:rsid w:val="003B54C2"/>
    <w:rsid w:val="003C0559"/>
    <w:rsid w:val="003C1525"/>
    <w:rsid w:val="003C3B04"/>
    <w:rsid w:val="003C4F2F"/>
    <w:rsid w:val="003D097D"/>
    <w:rsid w:val="003D62E4"/>
    <w:rsid w:val="003E01CE"/>
    <w:rsid w:val="003F1070"/>
    <w:rsid w:val="003F4784"/>
    <w:rsid w:val="00400562"/>
    <w:rsid w:val="00404ACB"/>
    <w:rsid w:val="00406AAB"/>
    <w:rsid w:val="004226AD"/>
    <w:rsid w:val="004249EA"/>
    <w:rsid w:val="00425153"/>
    <w:rsid w:val="004342A5"/>
    <w:rsid w:val="004431FE"/>
    <w:rsid w:val="00443EA8"/>
    <w:rsid w:val="00445B9F"/>
    <w:rsid w:val="0044669B"/>
    <w:rsid w:val="00453F58"/>
    <w:rsid w:val="0045765B"/>
    <w:rsid w:val="00461BFB"/>
    <w:rsid w:val="00462AA4"/>
    <w:rsid w:val="00473298"/>
    <w:rsid w:val="004811A6"/>
    <w:rsid w:val="0049670C"/>
    <w:rsid w:val="004A0591"/>
    <w:rsid w:val="004A1651"/>
    <w:rsid w:val="004A369E"/>
    <w:rsid w:val="004A3E28"/>
    <w:rsid w:val="004A40FB"/>
    <w:rsid w:val="004A45DA"/>
    <w:rsid w:val="004B67C6"/>
    <w:rsid w:val="004C4A2B"/>
    <w:rsid w:val="004C6C8C"/>
    <w:rsid w:val="004C7E65"/>
    <w:rsid w:val="004E4F4E"/>
    <w:rsid w:val="004F2D8E"/>
    <w:rsid w:val="005008E0"/>
    <w:rsid w:val="00500AA8"/>
    <w:rsid w:val="005066C0"/>
    <w:rsid w:val="005232C4"/>
    <w:rsid w:val="005255D0"/>
    <w:rsid w:val="00536948"/>
    <w:rsid w:val="005535F9"/>
    <w:rsid w:val="0055446C"/>
    <w:rsid w:val="00557A5E"/>
    <w:rsid w:val="00560053"/>
    <w:rsid w:val="00564566"/>
    <w:rsid w:val="00565B1E"/>
    <w:rsid w:val="00575F51"/>
    <w:rsid w:val="0057733D"/>
    <w:rsid w:val="00577519"/>
    <w:rsid w:val="00580EC0"/>
    <w:rsid w:val="0058362E"/>
    <w:rsid w:val="005849A0"/>
    <w:rsid w:val="00587689"/>
    <w:rsid w:val="005930B3"/>
    <w:rsid w:val="005945F8"/>
    <w:rsid w:val="005A172D"/>
    <w:rsid w:val="005A748E"/>
    <w:rsid w:val="005B32FA"/>
    <w:rsid w:val="005B4DAE"/>
    <w:rsid w:val="005B664E"/>
    <w:rsid w:val="005C515A"/>
    <w:rsid w:val="005C62D1"/>
    <w:rsid w:val="005D0D9B"/>
    <w:rsid w:val="005E1354"/>
    <w:rsid w:val="005E7C08"/>
    <w:rsid w:val="005F0201"/>
    <w:rsid w:val="005F37AE"/>
    <w:rsid w:val="00601AB9"/>
    <w:rsid w:val="00602D2B"/>
    <w:rsid w:val="00604CF8"/>
    <w:rsid w:val="00611B62"/>
    <w:rsid w:val="00623FFC"/>
    <w:rsid w:val="00624D65"/>
    <w:rsid w:val="006267D4"/>
    <w:rsid w:val="006270D5"/>
    <w:rsid w:val="006274F6"/>
    <w:rsid w:val="00633FD4"/>
    <w:rsid w:val="00635460"/>
    <w:rsid w:val="00640E38"/>
    <w:rsid w:val="00641D96"/>
    <w:rsid w:val="0064362A"/>
    <w:rsid w:val="00645E54"/>
    <w:rsid w:val="00657826"/>
    <w:rsid w:val="00660FAF"/>
    <w:rsid w:val="00661B6E"/>
    <w:rsid w:val="00662425"/>
    <w:rsid w:val="00664EF8"/>
    <w:rsid w:val="00665F5E"/>
    <w:rsid w:val="00672080"/>
    <w:rsid w:val="00672B71"/>
    <w:rsid w:val="00674AA3"/>
    <w:rsid w:val="00675921"/>
    <w:rsid w:val="00676395"/>
    <w:rsid w:val="00677182"/>
    <w:rsid w:val="006775D5"/>
    <w:rsid w:val="00681676"/>
    <w:rsid w:val="006865A5"/>
    <w:rsid w:val="006902F4"/>
    <w:rsid w:val="0069426F"/>
    <w:rsid w:val="006A4F24"/>
    <w:rsid w:val="006A6AD1"/>
    <w:rsid w:val="006A7768"/>
    <w:rsid w:val="006B04CA"/>
    <w:rsid w:val="006B684B"/>
    <w:rsid w:val="006C2A05"/>
    <w:rsid w:val="006C3A7D"/>
    <w:rsid w:val="006C4798"/>
    <w:rsid w:val="006D2885"/>
    <w:rsid w:val="006D32EF"/>
    <w:rsid w:val="006D573E"/>
    <w:rsid w:val="006D5F7B"/>
    <w:rsid w:val="006D72C6"/>
    <w:rsid w:val="006E18CF"/>
    <w:rsid w:val="006E1D98"/>
    <w:rsid w:val="006F1CC7"/>
    <w:rsid w:val="006F23AD"/>
    <w:rsid w:val="006F2D11"/>
    <w:rsid w:val="006F38AA"/>
    <w:rsid w:val="006F5F95"/>
    <w:rsid w:val="006F6A92"/>
    <w:rsid w:val="007025A6"/>
    <w:rsid w:val="00714456"/>
    <w:rsid w:val="00720B6E"/>
    <w:rsid w:val="00722ADB"/>
    <w:rsid w:val="00723C35"/>
    <w:rsid w:val="007334E7"/>
    <w:rsid w:val="007376EC"/>
    <w:rsid w:val="00737BB4"/>
    <w:rsid w:val="00745F20"/>
    <w:rsid w:val="007518FE"/>
    <w:rsid w:val="007529B4"/>
    <w:rsid w:val="007529DF"/>
    <w:rsid w:val="00766777"/>
    <w:rsid w:val="00770077"/>
    <w:rsid w:val="00774BE4"/>
    <w:rsid w:val="00775E56"/>
    <w:rsid w:val="00776791"/>
    <w:rsid w:val="00777A06"/>
    <w:rsid w:val="00777A0F"/>
    <w:rsid w:val="007834DD"/>
    <w:rsid w:val="00783E49"/>
    <w:rsid w:val="00785861"/>
    <w:rsid w:val="0079413C"/>
    <w:rsid w:val="007974A9"/>
    <w:rsid w:val="007A18E8"/>
    <w:rsid w:val="007A256F"/>
    <w:rsid w:val="007B457F"/>
    <w:rsid w:val="007C0624"/>
    <w:rsid w:val="007C1D1E"/>
    <w:rsid w:val="007C3600"/>
    <w:rsid w:val="007C57C8"/>
    <w:rsid w:val="007D1279"/>
    <w:rsid w:val="007D7357"/>
    <w:rsid w:val="007E5BC2"/>
    <w:rsid w:val="007E6811"/>
    <w:rsid w:val="007F1638"/>
    <w:rsid w:val="007F7D2E"/>
    <w:rsid w:val="00804E47"/>
    <w:rsid w:val="008173AD"/>
    <w:rsid w:val="008335CF"/>
    <w:rsid w:val="00833D68"/>
    <w:rsid w:val="00834C8E"/>
    <w:rsid w:val="008415C0"/>
    <w:rsid w:val="008419F9"/>
    <w:rsid w:val="00843CA9"/>
    <w:rsid w:val="00847E8F"/>
    <w:rsid w:val="00850EFA"/>
    <w:rsid w:val="00854C5D"/>
    <w:rsid w:val="00857055"/>
    <w:rsid w:val="0086079E"/>
    <w:rsid w:val="00863994"/>
    <w:rsid w:val="00866727"/>
    <w:rsid w:val="008722A3"/>
    <w:rsid w:val="008763BC"/>
    <w:rsid w:val="00884818"/>
    <w:rsid w:val="008901DF"/>
    <w:rsid w:val="00891D38"/>
    <w:rsid w:val="0089660A"/>
    <w:rsid w:val="008A0814"/>
    <w:rsid w:val="008A0E3F"/>
    <w:rsid w:val="008A3180"/>
    <w:rsid w:val="008A67F5"/>
    <w:rsid w:val="008B1796"/>
    <w:rsid w:val="008B30B8"/>
    <w:rsid w:val="008E50D2"/>
    <w:rsid w:val="008E6DFD"/>
    <w:rsid w:val="008F5F7E"/>
    <w:rsid w:val="008F6274"/>
    <w:rsid w:val="008F6979"/>
    <w:rsid w:val="008F7698"/>
    <w:rsid w:val="008F7A2C"/>
    <w:rsid w:val="008F7E50"/>
    <w:rsid w:val="00900D39"/>
    <w:rsid w:val="00905BE3"/>
    <w:rsid w:val="00906F82"/>
    <w:rsid w:val="0090751E"/>
    <w:rsid w:val="00912C42"/>
    <w:rsid w:val="00917AB6"/>
    <w:rsid w:val="00922283"/>
    <w:rsid w:val="0092500B"/>
    <w:rsid w:val="0093142C"/>
    <w:rsid w:val="0093239D"/>
    <w:rsid w:val="009325B0"/>
    <w:rsid w:val="0094121D"/>
    <w:rsid w:val="00942025"/>
    <w:rsid w:val="0095295A"/>
    <w:rsid w:val="009533D8"/>
    <w:rsid w:val="009570BB"/>
    <w:rsid w:val="00960D45"/>
    <w:rsid w:val="009616F4"/>
    <w:rsid w:val="00961F89"/>
    <w:rsid w:val="009620B1"/>
    <w:rsid w:val="00966C37"/>
    <w:rsid w:val="0097387F"/>
    <w:rsid w:val="009761CC"/>
    <w:rsid w:val="0097737B"/>
    <w:rsid w:val="0099152C"/>
    <w:rsid w:val="0099168F"/>
    <w:rsid w:val="00991717"/>
    <w:rsid w:val="00996BE9"/>
    <w:rsid w:val="009A6C78"/>
    <w:rsid w:val="009A7471"/>
    <w:rsid w:val="009A7DF8"/>
    <w:rsid w:val="009B148F"/>
    <w:rsid w:val="009B1930"/>
    <w:rsid w:val="009C5B97"/>
    <w:rsid w:val="009C6270"/>
    <w:rsid w:val="009C71A9"/>
    <w:rsid w:val="009C77C9"/>
    <w:rsid w:val="009C7E44"/>
    <w:rsid w:val="009D2232"/>
    <w:rsid w:val="009D4A98"/>
    <w:rsid w:val="009E1E9C"/>
    <w:rsid w:val="009E2763"/>
    <w:rsid w:val="009E2DCD"/>
    <w:rsid w:val="00A1149D"/>
    <w:rsid w:val="00A11A1A"/>
    <w:rsid w:val="00A14016"/>
    <w:rsid w:val="00A23032"/>
    <w:rsid w:val="00A24DF2"/>
    <w:rsid w:val="00A26B2C"/>
    <w:rsid w:val="00A3351A"/>
    <w:rsid w:val="00A3651D"/>
    <w:rsid w:val="00A36643"/>
    <w:rsid w:val="00A54215"/>
    <w:rsid w:val="00A70987"/>
    <w:rsid w:val="00A727BF"/>
    <w:rsid w:val="00A7580D"/>
    <w:rsid w:val="00A85ED0"/>
    <w:rsid w:val="00A86D46"/>
    <w:rsid w:val="00A900A5"/>
    <w:rsid w:val="00A945EF"/>
    <w:rsid w:val="00A95509"/>
    <w:rsid w:val="00A970C6"/>
    <w:rsid w:val="00AA01F8"/>
    <w:rsid w:val="00AA5F2D"/>
    <w:rsid w:val="00AB3A0C"/>
    <w:rsid w:val="00AB6C57"/>
    <w:rsid w:val="00AC024A"/>
    <w:rsid w:val="00AC3F5E"/>
    <w:rsid w:val="00AC5043"/>
    <w:rsid w:val="00AC52CD"/>
    <w:rsid w:val="00AD1D93"/>
    <w:rsid w:val="00AD2027"/>
    <w:rsid w:val="00AD24F2"/>
    <w:rsid w:val="00AE3DCA"/>
    <w:rsid w:val="00AE3F6C"/>
    <w:rsid w:val="00AE588A"/>
    <w:rsid w:val="00B02A8A"/>
    <w:rsid w:val="00B0357D"/>
    <w:rsid w:val="00B04849"/>
    <w:rsid w:val="00B0554B"/>
    <w:rsid w:val="00B12533"/>
    <w:rsid w:val="00B21664"/>
    <w:rsid w:val="00B22959"/>
    <w:rsid w:val="00B24342"/>
    <w:rsid w:val="00B25988"/>
    <w:rsid w:val="00B25D94"/>
    <w:rsid w:val="00B27830"/>
    <w:rsid w:val="00B3071D"/>
    <w:rsid w:val="00B41618"/>
    <w:rsid w:val="00B508A3"/>
    <w:rsid w:val="00B54F81"/>
    <w:rsid w:val="00B56106"/>
    <w:rsid w:val="00B620E8"/>
    <w:rsid w:val="00B65E1B"/>
    <w:rsid w:val="00B701EF"/>
    <w:rsid w:val="00B708B1"/>
    <w:rsid w:val="00B70C70"/>
    <w:rsid w:val="00B7360F"/>
    <w:rsid w:val="00B76A17"/>
    <w:rsid w:val="00B80875"/>
    <w:rsid w:val="00B80DE3"/>
    <w:rsid w:val="00B8192F"/>
    <w:rsid w:val="00B842AA"/>
    <w:rsid w:val="00B85ADC"/>
    <w:rsid w:val="00B87EB5"/>
    <w:rsid w:val="00B92010"/>
    <w:rsid w:val="00B93D77"/>
    <w:rsid w:val="00BA4F1E"/>
    <w:rsid w:val="00BB125F"/>
    <w:rsid w:val="00BB595B"/>
    <w:rsid w:val="00BB7BEE"/>
    <w:rsid w:val="00BC7C8A"/>
    <w:rsid w:val="00BD5FC7"/>
    <w:rsid w:val="00BD64EF"/>
    <w:rsid w:val="00BD7842"/>
    <w:rsid w:val="00BD78AE"/>
    <w:rsid w:val="00BE2E06"/>
    <w:rsid w:val="00BF3F80"/>
    <w:rsid w:val="00C023AB"/>
    <w:rsid w:val="00C063AE"/>
    <w:rsid w:val="00C07091"/>
    <w:rsid w:val="00C079B7"/>
    <w:rsid w:val="00C15610"/>
    <w:rsid w:val="00C25371"/>
    <w:rsid w:val="00C5188D"/>
    <w:rsid w:val="00C53E2E"/>
    <w:rsid w:val="00C57F02"/>
    <w:rsid w:val="00C64D8E"/>
    <w:rsid w:val="00C80ED5"/>
    <w:rsid w:val="00C81759"/>
    <w:rsid w:val="00C83EC9"/>
    <w:rsid w:val="00C94F69"/>
    <w:rsid w:val="00C95A74"/>
    <w:rsid w:val="00CA0188"/>
    <w:rsid w:val="00CA40F3"/>
    <w:rsid w:val="00CB19E4"/>
    <w:rsid w:val="00CB2F80"/>
    <w:rsid w:val="00CB39FB"/>
    <w:rsid w:val="00CB4D33"/>
    <w:rsid w:val="00CB5C56"/>
    <w:rsid w:val="00CB6235"/>
    <w:rsid w:val="00CC308E"/>
    <w:rsid w:val="00CC66E7"/>
    <w:rsid w:val="00CC737A"/>
    <w:rsid w:val="00CD4001"/>
    <w:rsid w:val="00CD7D2B"/>
    <w:rsid w:val="00CE7FEA"/>
    <w:rsid w:val="00CF228E"/>
    <w:rsid w:val="00CF4725"/>
    <w:rsid w:val="00CF694F"/>
    <w:rsid w:val="00D016A4"/>
    <w:rsid w:val="00D13C1E"/>
    <w:rsid w:val="00D1534B"/>
    <w:rsid w:val="00D212C7"/>
    <w:rsid w:val="00D302AF"/>
    <w:rsid w:val="00D36C21"/>
    <w:rsid w:val="00D40692"/>
    <w:rsid w:val="00D414A2"/>
    <w:rsid w:val="00D42B9C"/>
    <w:rsid w:val="00D44258"/>
    <w:rsid w:val="00D45A25"/>
    <w:rsid w:val="00D50830"/>
    <w:rsid w:val="00D51454"/>
    <w:rsid w:val="00D60C82"/>
    <w:rsid w:val="00D62B57"/>
    <w:rsid w:val="00D703A5"/>
    <w:rsid w:val="00D733D1"/>
    <w:rsid w:val="00D7515C"/>
    <w:rsid w:val="00D81277"/>
    <w:rsid w:val="00D8414E"/>
    <w:rsid w:val="00D84166"/>
    <w:rsid w:val="00D936E2"/>
    <w:rsid w:val="00D94A59"/>
    <w:rsid w:val="00D97B90"/>
    <w:rsid w:val="00DB1F84"/>
    <w:rsid w:val="00DC3248"/>
    <w:rsid w:val="00DC3392"/>
    <w:rsid w:val="00DC4964"/>
    <w:rsid w:val="00DF191A"/>
    <w:rsid w:val="00DF2736"/>
    <w:rsid w:val="00DF340E"/>
    <w:rsid w:val="00E0078F"/>
    <w:rsid w:val="00E01D49"/>
    <w:rsid w:val="00E1647E"/>
    <w:rsid w:val="00E21B6F"/>
    <w:rsid w:val="00E2447D"/>
    <w:rsid w:val="00E24AF5"/>
    <w:rsid w:val="00E25D41"/>
    <w:rsid w:val="00E33AAA"/>
    <w:rsid w:val="00E3435A"/>
    <w:rsid w:val="00E378A3"/>
    <w:rsid w:val="00E41CED"/>
    <w:rsid w:val="00E46778"/>
    <w:rsid w:val="00E6615C"/>
    <w:rsid w:val="00E70132"/>
    <w:rsid w:val="00E74E3C"/>
    <w:rsid w:val="00E75612"/>
    <w:rsid w:val="00E84642"/>
    <w:rsid w:val="00E851A3"/>
    <w:rsid w:val="00E85E51"/>
    <w:rsid w:val="00E90165"/>
    <w:rsid w:val="00E914A7"/>
    <w:rsid w:val="00E96A0D"/>
    <w:rsid w:val="00EA453B"/>
    <w:rsid w:val="00EB59E1"/>
    <w:rsid w:val="00EB6A27"/>
    <w:rsid w:val="00EC06F8"/>
    <w:rsid w:val="00ED3D7C"/>
    <w:rsid w:val="00ED3E16"/>
    <w:rsid w:val="00ED413D"/>
    <w:rsid w:val="00ED72B4"/>
    <w:rsid w:val="00EE0403"/>
    <w:rsid w:val="00EE1BE8"/>
    <w:rsid w:val="00EE2CC1"/>
    <w:rsid w:val="00EE3531"/>
    <w:rsid w:val="00EE41BC"/>
    <w:rsid w:val="00EE53BC"/>
    <w:rsid w:val="00EF1E11"/>
    <w:rsid w:val="00F042A9"/>
    <w:rsid w:val="00F26788"/>
    <w:rsid w:val="00F33179"/>
    <w:rsid w:val="00F46D0E"/>
    <w:rsid w:val="00F543B8"/>
    <w:rsid w:val="00F56B5D"/>
    <w:rsid w:val="00F60100"/>
    <w:rsid w:val="00F605B6"/>
    <w:rsid w:val="00F617EE"/>
    <w:rsid w:val="00F70641"/>
    <w:rsid w:val="00F70F22"/>
    <w:rsid w:val="00F71A4B"/>
    <w:rsid w:val="00F8356C"/>
    <w:rsid w:val="00F90A03"/>
    <w:rsid w:val="00F92342"/>
    <w:rsid w:val="00F92D6E"/>
    <w:rsid w:val="00F95178"/>
    <w:rsid w:val="00FA2686"/>
    <w:rsid w:val="00FA3083"/>
    <w:rsid w:val="00FA4BCD"/>
    <w:rsid w:val="00FC1E45"/>
    <w:rsid w:val="00FC4831"/>
    <w:rsid w:val="00FC5FD0"/>
    <w:rsid w:val="00FC7840"/>
    <w:rsid w:val="00FD18AD"/>
    <w:rsid w:val="00FD37A6"/>
    <w:rsid w:val="00FD784E"/>
    <w:rsid w:val="00FE1D3E"/>
    <w:rsid w:val="00FE3EDB"/>
    <w:rsid w:val="00FF06C9"/>
    <w:rsid w:val="0390F0F0"/>
    <w:rsid w:val="054FFAA4"/>
    <w:rsid w:val="06A2BCF0"/>
    <w:rsid w:val="093A85C0"/>
    <w:rsid w:val="0B8F5730"/>
    <w:rsid w:val="10F3BC02"/>
    <w:rsid w:val="126C4466"/>
    <w:rsid w:val="14BFE9C0"/>
    <w:rsid w:val="16BFCCC2"/>
    <w:rsid w:val="199BA4F4"/>
    <w:rsid w:val="19ACF4C3"/>
    <w:rsid w:val="1A240D68"/>
    <w:rsid w:val="1C7D0EF7"/>
    <w:rsid w:val="1C9C5D4B"/>
    <w:rsid w:val="2019363D"/>
    <w:rsid w:val="23A41DBC"/>
    <w:rsid w:val="2459FCD7"/>
    <w:rsid w:val="26EF21AF"/>
    <w:rsid w:val="2E485C03"/>
    <w:rsid w:val="3183FB4F"/>
    <w:rsid w:val="33D24F39"/>
    <w:rsid w:val="3779A2E1"/>
    <w:rsid w:val="38660457"/>
    <w:rsid w:val="388E27F2"/>
    <w:rsid w:val="3AA02AF9"/>
    <w:rsid w:val="3C625381"/>
    <w:rsid w:val="3D638C8E"/>
    <w:rsid w:val="438F2DBB"/>
    <w:rsid w:val="452110EA"/>
    <w:rsid w:val="479475E8"/>
    <w:rsid w:val="48DA0647"/>
    <w:rsid w:val="4A35A5C7"/>
    <w:rsid w:val="4AC06DDE"/>
    <w:rsid w:val="4B88D9B5"/>
    <w:rsid w:val="4D29C54F"/>
    <w:rsid w:val="4EE050F1"/>
    <w:rsid w:val="522576EB"/>
    <w:rsid w:val="53B8FB48"/>
    <w:rsid w:val="55743355"/>
    <w:rsid w:val="61924CA1"/>
    <w:rsid w:val="6C9CCBBE"/>
    <w:rsid w:val="6FAF1252"/>
    <w:rsid w:val="6FB855DD"/>
    <w:rsid w:val="71E3C857"/>
    <w:rsid w:val="74B622CE"/>
    <w:rsid w:val="759DF5C0"/>
    <w:rsid w:val="76F1407A"/>
    <w:rsid w:val="7829AFD3"/>
    <w:rsid w:val="7909988D"/>
    <w:rsid w:val="7F1420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2F564"/>
  <w15:chartTrackingRefBased/>
  <w15:docId w15:val="{8EB28463-B85D-4282-ACC7-27F49F72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E11"/>
    <w:pPr>
      <w:spacing w:after="160" w:line="259"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15C"/>
    <w:pPr>
      <w:ind w:left="720"/>
      <w:contextualSpacing/>
    </w:pPr>
  </w:style>
  <w:style w:type="paragraph" w:styleId="BalloonText">
    <w:name w:val="Balloon Text"/>
    <w:basedOn w:val="Normal"/>
    <w:link w:val="BalloonTextChar"/>
    <w:uiPriority w:val="99"/>
    <w:semiHidden/>
    <w:unhideWhenUsed/>
    <w:rsid w:val="002455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5A8"/>
    <w:rPr>
      <w:rFonts w:ascii="Segoe UI" w:hAnsi="Segoe UI" w:cs="Segoe UI"/>
      <w:sz w:val="18"/>
      <w:szCs w:val="18"/>
      <w:lang w:val="fr-BE"/>
    </w:rPr>
  </w:style>
  <w:style w:type="paragraph" w:styleId="NormalWeb">
    <w:name w:val="Normal (Web)"/>
    <w:basedOn w:val="Normal"/>
    <w:uiPriority w:val="99"/>
    <w:unhideWhenUsed/>
    <w:rsid w:val="0064362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D78AE"/>
    <w:rPr>
      <w:sz w:val="16"/>
      <w:szCs w:val="16"/>
    </w:rPr>
  </w:style>
  <w:style w:type="paragraph" w:styleId="CommentText">
    <w:name w:val="annotation text"/>
    <w:basedOn w:val="Normal"/>
    <w:link w:val="CommentTextChar"/>
    <w:uiPriority w:val="99"/>
    <w:unhideWhenUsed/>
    <w:rsid w:val="00BD78AE"/>
    <w:pPr>
      <w:spacing w:line="240" w:lineRule="auto"/>
    </w:pPr>
    <w:rPr>
      <w:sz w:val="20"/>
      <w:szCs w:val="20"/>
    </w:rPr>
  </w:style>
  <w:style w:type="character" w:customStyle="1" w:styleId="CommentTextChar">
    <w:name w:val="Comment Text Char"/>
    <w:basedOn w:val="DefaultParagraphFont"/>
    <w:link w:val="CommentText"/>
    <w:uiPriority w:val="99"/>
    <w:rsid w:val="00BD78AE"/>
    <w:rPr>
      <w:sz w:val="20"/>
      <w:szCs w:val="20"/>
      <w:lang w:val="fr-BE"/>
    </w:rPr>
  </w:style>
  <w:style w:type="paragraph" w:styleId="CommentSubject">
    <w:name w:val="annotation subject"/>
    <w:basedOn w:val="CommentText"/>
    <w:next w:val="CommentText"/>
    <w:link w:val="CommentSubjectChar"/>
    <w:uiPriority w:val="99"/>
    <w:semiHidden/>
    <w:unhideWhenUsed/>
    <w:rsid w:val="00BD78AE"/>
    <w:rPr>
      <w:b/>
      <w:bCs/>
    </w:rPr>
  </w:style>
  <w:style w:type="character" w:customStyle="1" w:styleId="CommentSubjectChar">
    <w:name w:val="Comment Subject Char"/>
    <w:basedOn w:val="CommentTextChar"/>
    <w:link w:val="CommentSubject"/>
    <w:uiPriority w:val="99"/>
    <w:semiHidden/>
    <w:rsid w:val="00BD78AE"/>
    <w:rPr>
      <w:b/>
      <w:bCs/>
      <w:sz w:val="20"/>
      <w:szCs w:val="20"/>
      <w:lang w:val="fr-BE"/>
    </w:rPr>
  </w:style>
  <w:style w:type="character" w:styleId="Hyperlink">
    <w:name w:val="Hyperlink"/>
    <w:basedOn w:val="DefaultParagraphFont"/>
    <w:uiPriority w:val="99"/>
    <w:unhideWhenUsed/>
    <w:rsid w:val="000F3D45"/>
    <w:rPr>
      <w:color w:val="1A6A97" w:themeColor="hyperlink"/>
      <w:u w:val="single"/>
    </w:rPr>
  </w:style>
  <w:style w:type="character" w:styleId="UnresolvedMention">
    <w:name w:val="Unresolved Mention"/>
    <w:basedOn w:val="DefaultParagraphFont"/>
    <w:uiPriority w:val="99"/>
    <w:semiHidden/>
    <w:unhideWhenUsed/>
    <w:rsid w:val="000F3D45"/>
    <w:rPr>
      <w:color w:val="605E5C"/>
      <w:shd w:val="clear" w:color="auto" w:fill="E1DFDD"/>
    </w:rPr>
  </w:style>
  <w:style w:type="paragraph" w:styleId="Revision">
    <w:name w:val="Revision"/>
    <w:hidden/>
    <w:uiPriority w:val="99"/>
    <w:semiHidden/>
    <w:rsid w:val="00847E8F"/>
    <w:pPr>
      <w:spacing w:after="0" w:line="240" w:lineRule="auto"/>
    </w:pPr>
    <w:rPr>
      <w:lang w:val="fr-BE"/>
    </w:rPr>
  </w:style>
  <w:style w:type="character" w:styleId="FollowedHyperlink">
    <w:name w:val="FollowedHyperlink"/>
    <w:basedOn w:val="DefaultParagraphFont"/>
    <w:uiPriority w:val="99"/>
    <w:semiHidden/>
    <w:unhideWhenUsed/>
    <w:rsid w:val="00E33AAA"/>
    <w:rPr>
      <w:color w:val="834B77" w:themeColor="followedHyperlink"/>
      <w:u w:val="single"/>
    </w:rPr>
  </w:style>
  <w:style w:type="paragraph" w:styleId="FootnoteText">
    <w:name w:val="footnote text"/>
    <w:basedOn w:val="Normal"/>
    <w:link w:val="FootnoteTextChar"/>
    <w:uiPriority w:val="99"/>
    <w:semiHidden/>
    <w:unhideWhenUsed/>
    <w:rsid w:val="009E2D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2DCD"/>
    <w:rPr>
      <w:sz w:val="20"/>
      <w:szCs w:val="20"/>
      <w:lang w:val="fr-BE"/>
    </w:rPr>
  </w:style>
  <w:style w:type="character" w:styleId="FootnoteReference">
    <w:name w:val="footnote reference"/>
    <w:basedOn w:val="DefaultParagraphFont"/>
    <w:uiPriority w:val="99"/>
    <w:semiHidden/>
    <w:unhideWhenUsed/>
    <w:rsid w:val="009E2DCD"/>
    <w:rPr>
      <w:vertAlign w:val="superscript"/>
    </w:rPr>
  </w:style>
  <w:style w:type="paragraph" w:styleId="Header">
    <w:name w:val="header"/>
    <w:basedOn w:val="Normal"/>
    <w:link w:val="HeaderChar"/>
    <w:uiPriority w:val="99"/>
    <w:semiHidden/>
    <w:unhideWhenUsed/>
    <w:rsid w:val="00A542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4215"/>
    <w:rPr>
      <w:lang w:val="fr-BE"/>
    </w:rPr>
  </w:style>
  <w:style w:type="paragraph" w:styleId="Footer">
    <w:name w:val="footer"/>
    <w:basedOn w:val="Normal"/>
    <w:link w:val="FooterChar"/>
    <w:uiPriority w:val="99"/>
    <w:semiHidden/>
    <w:unhideWhenUsed/>
    <w:rsid w:val="00A5421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4215"/>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02789">
      <w:bodyDiv w:val="1"/>
      <w:marLeft w:val="0"/>
      <w:marRight w:val="0"/>
      <w:marTop w:val="0"/>
      <w:marBottom w:val="0"/>
      <w:divBdr>
        <w:top w:val="none" w:sz="0" w:space="0" w:color="auto"/>
        <w:left w:val="none" w:sz="0" w:space="0" w:color="auto"/>
        <w:bottom w:val="none" w:sz="0" w:space="0" w:color="auto"/>
        <w:right w:val="none" w:sz="0" w:space="0" w:color="auto"/>
      </w:divBdr>
    </w:div>
    <w:div w:id="193425261">
      <w:bodyDiv w:val="1"/>
      <w:marLeft w:val="0"/>
      <w:marRight w:val="0"/>
      <w:marTop w:val="0"/>
      <w:marBottom w:val="0"/>
      <w:divBdr>
        <w:top w:val="none" w:sz="0" w:space="0" w:color="auto"/>
        <w:left w:val="none" w:sz="0" w:space="0" w:color="auto"/>
        <w:bottom w:val="none" w:sz="0" w:space="0" w:color="auto"/>
        <w:right w:val="none" w:sz="0" w:space="0" w:color="auto"/>
      </w:divBdr>
    </w:div>
    <w:div w:id="485754488">
      <w:bodyDiv w:val="1"/>
      <w:marLeft w:val="0"/>
      <w:marRight w:val="0"/>
      <w:marTop w:val="0"/>
      <w:marBottom w:val="0"/>
      <w:divBdr>
        <w:top w:val="none" w:sz="0" w:space="0" w:color="auto"/>
        <w:left w:val="none" w:sz="0" w:space="0" w:color="auto"/>
        <w:bottom w:val="none" w:sz="0" w:space="0" w:color="auto"/>
        <w:right w:val="none" w:sz="0" w:space="0" w:color="auto"/>
      </w:divBdr>
    </w:div>
    <w:div w:id="521937014">
      <w:bodyDiv w:val="1"/>
      <w:marLeft w:val="0"/>
      <w:marRight w:val="0"/>
      <w:marTop w:val="0"/>
      <w:marBottom w:val="0"/>
      <w:divBdr>
        <w:top w:val="none" w:sz="0" w:space="0" w:color="auto"/>
        <w:left w:val="none" w:sz="0" w:space="0" w:color="auto"/>
        <w:bottom w:val="none" w:sz="0" w:space="0" w:color="auto"/>
        <w:right w:val="none" w:sz="0" w:space="0" w:color="auto"/>
      </w:divBdr>
    </w:div>
    <w:div w:id="567691219">
      <w:bodyDiv w:val="1"/>
      <w:marLeft w:val="0"/>
      <w:marRight w:val="0"/>
      <w:marTop w:val="0"/>
      <w:marBottom w:val="0"/>
      <w:divBdr>
        <w:top w:val="none" w:sz="0" w:space="0" w:color="auto"/>
        <w:left w:val="none" w:sz="0" w:space="0" w:color="auto"/>
        <w:bottom w:val="none" w:sz="0" w:space="0" w:color="auto"/>
        <w:right w:val="none" w:sz="0" w:space="0" w:color="auto"/>
      </w:divBdr>
    </w:div>
    <w:div w:id="778528304">
      <w:bodyDiv w:val="1"/>
      <w:marLeft w:val="0"/>
      <w:marRight w:val="0"/>
      <w:marTop w:val="0"/>
      <w:marBottom w:val="0"/>
      <w:divBdr>
        <w:top w:val="none" w:sz="0" w:space="0" w:color="auto"/>
        <w:left w:val="none" w:sz="0" w:space="0" w:color="auto"/>
        <w:bottom w:val="none" w:sz="0" w:space="0" w:color="auto"/>
        <w:right w:val="none" w:sz="0" w:space="0" w:color="auto"/>
      </w:divBdr>
    </w:div>
    <w:div w:id="1360007011">
      <w:bodyDiv w:val="1"/>
      <w:marLeft w:val="0"/>
      <w:marRight w:val="0"/>
      <w:marTop w:val="0"/>
      <w:marBottom w:val="0"/>
      <w:divBdr>
        <w:top w:val="none" w:sz="0" w:space="0" w:color="auto"/>
        <w:left w:val="none" w:sz="0" w:space="0" w:color="auto"/>
        <w:bottom w:val="none" w:sz="0" w:space="0" w:color="auto"/>
        <w:right w:val="none" w:sz="0" w:space="0" w:color="auto"/>
      </w:divBdr>
    </w:div>
    <w:div w:id="1461024351">
      <w:bodyDiv w:val="1"/>
      <w:marLeft w:val="0"/>
      <w:marRight w:val="0"/>
      <w:marTop w:val="0"/>
      <w:marBottom w:val="0"/>
      <w:divBdr>
        <w:top w:val="none" w:sz="0" w:space="0" w:color="auto"/>
        <w:left w:val="none" w:sz="0" w:space="0" w:color="auto"/>
        <w:bottom w:val="none" w:sz="0" w:space="0" w:color="auto"/>
        <w:right w:val="none" w:sz="0" w:space="0" w:color="auto"/>
      </w:divBdr>
    </w:div>
    <w:div w:id="1532838143">
      <w:bodyDiv w:val="1"/>
      <w:marLeft w:val="0"/>
      <w:marRight w:val="0"/>
      <w:marTop w:val="0"/>
      <w:marBottom w:val="0"/>
      <w:divBdr>
        <w:top w:val="none" w:sz="0" w:space="0" w:color="auto"/>
        <w:left w:val="none" w:sz="0" w:space="0" w:color="auto"/>
        <w:bottom w:val="none" w:sz="0" w:space="0" w:color="auto"/>
        <w:right w:val="none" w:sz="0" w:space="0" w:color="auto"/>
      </w:divBdr>
    </w:div>
    <w:div w:id="174483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uriserv:OJ.L_.2020.278.01.0001.01.ENG&amp;toc=OJ:L:2020:278:TOC" TargetMode="External"/><Relationship Id="rId18" Type="http://schemas.openxmlformats.org/officeDocument/2006/relationships/hyperlink" Target="https://reportnet.europa.eu/public/dataflow/111" TargetMode="External"/><Relationship Id="rId3" Type="http://schemas.openxmlformats.org/officeDocument/2006/relationships/customXml" Target="../customXml/item3.xml"/><Relationship Id="rId21" Type="http://schemas.openxmlformats.org/officeDocument/2006/relationships/hyperlink" Target="https://reportnet.europa.eu/" TargetMode="External"/><Relationship Id="rId7" Type="http://schemas.openxmlformats.org/officeDocument/2006/relationships/settings" Target="settings.xml"/><Relationship Id="rId12" Type="http://schemas.openxmlformats.org/officeDocument/2006/relationships/hyperlink" Target="https://eur-lex.europa.eu/eli/reg/2018/1999/oj" TargetMode="External"/><Relationship Id="rId17" Type="http://schemas.openxmlformats.org/officeDocument/2006/relationships/hyperlink" Target="https://reportnet.europ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eli/reg/2018/1999/oj/eng" TargetMode="External"/><Relationship Id="rId20" Type="http://schemas.openxmlformats.org/officeDocument/2006/relationships/hyperlink" Target="https://www.eionet.europa.eu/etcs/etc-cm/produ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reportnet.europa.eu/public/dataflow/111" TargetMode="External"/><Relationship Id="rId23" Type="http://schemas.openxmlformats.org/officeDocument/2006/relationships/hyperlink" Target="mailto:climate-energy@eea.europa.eu" TargetMode="External"/><Relationship Id="rId10" Type="http://schemas.openxmlformats.org/officeDocument/2006/relationships/endnotes" Target="endnotes.xml"/><Relationship Id="rId19" Type="http://schemas.openxmlformats.org/officeDocument/2006/relationships/hyperlink" Target="https://climate-energy.eea.europa.eu/topics/climate-change-mitigation/national-systems/dat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portnet.europa.eu/public/dataflow/111" TargetMode="External"/><Relationship Id="rId22" Type="http://schemas.openxmlformats.org/officeDocument/2006/relationships/image" Target="media/image2.png"/></Relationships>
</file>

<file path=word/theme/theme1.xml><?xml version="1.0" encoding="utf-8"?>
<a:theme xmlns:a="http://schemas.openxmlformats.org/drawingml/2006/main" name="Office Theme">
  <a:themeElements>
    <a:clrScheme name="EEA Theme">
      <a:dk1>
        <a:sysClr val="windowText" lastClr="000000"/>
      </a:dk1>
      <a:lt1>
        <a:sysClr val="window" lastClr="FFFFFF"/>
      </a:lt1>
      <a:dk2>
        <a:srgbClr val="44546A"/>
      </a:dk2>
      <a:lt2>
        <a:srgbClr val="E7E6E6"/>
      </a:lt2>
      <a:accent1>
        <a:srgbClr val="5BAA9D"/>
      </a:accent1>
      <a:accent2>
        <a:srgbClr val="3C8EB2"/>
      </a:accent2>
      <a:accent3>
        <a:srgbClr val="9B789B"/>
      </a:accent3>
      <a:accent4>
        <a:srgbClr val="F9B444"/>
      </a:accent4>
      <a:accent5>
        <a:srgbClr val="AE3446"/>
      </a:accent5>
      <a:accent6>
        <a:srgbClr val="AE8D70"/>
      </a:accent6>
      <a:hlink>
        <a:srgbClr val="1A6A97"/>
      </a:hlink>
      <a:folHlink>
        <a:srgbClr val="834B7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de7d478-d854-492c-97f6-92fba056400e" xsi:nil="true"/>
    <lcf76f155ced4ddcb4097134ff3c332f xmlns="0ab27300-963f-4f8d-9bae-e9aa98dabc2e">
      <Terms xmlns="http://schemas.microsoft.com/office/infopath/2007/PartnerControls"/>
    </lcf76f155ced4ddcb4097134ff3c332f>
    <SharedWithUsers xmlns="bde7d478-d854-492c-97f6-92fba056400e">
      <UserInfo>
        <DisplayName/>
        <AccountId xsi:nil="true"/>
        <AccountType/>
      </UserInfo>
    </SharedWithUsers>
    <DateandTime xmlns="0ab27300-963f-4f8d-9bae-e9aa98dabc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875B7BFAFDF64C9394BFB5DCA3161C" ma:contentTypeVersion="19" ma:contentTypeDescription="Create a new document." ma:contentTypeScope="" ma:versionID="d591fbafc828a742c1c6aa9d310c4bd6">
  <xsd:schema xmlns:xsd="http://www.w3.org/2001/XMLSchema" xmlns:xs="http://www.w3.org/2001/XMLSchema" xmlns:p="http://schemas.microsoft.com/office/2006/metadata/properties" xmlns:ns2="0ab27300-963f-4f8d-9bae-e9aa98dabc2e" xmlns:ns3="bde7d478-d854-492c-97f6-92fba056400e" targetNamespace="http://schemas.microsoft.com/office/2006/metadata/properties" ma:root="true" ma:fieldsID="10fcb98852ac7f6826b855dae616c588" ns2:_="" ns3:_="">
    <xsd:import namespace="0ab27300-963f-4f8d-9bae-e9aa98dabc2e"/>
    <xsd:import namespace="bde7d478-d854-492c-97f6-92fba0564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27300-963f-4f8d-9bae-e9aa98dabc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de42cbc-566b-46c9-aea5-a71cdcd36d8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de7d478-d854-492c-97f6-92fba05640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c485476-1d6c-4e6e-8d5e-03b2b446d908}" ma:internalName="TaxCatchAll" ma:showField="CatchAllData" ma:web="bde7d478-d854-492c-97f6-92fba0564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95B30-5612-4889-A52B-27CFDA34F514}">
  <ds:schemaRefs>
    <ds:schemaRef ds:uri="http://schemas.microsoft.com/office/2006/metadata/properties"/>
    <ds:schemaRef ds:uri="http://schemas.microsoft.com/office/infopath/2007/PartnerControls"/>
    <ds:schemaRef ds:uri="bde7d478-d854-492c-97f6-92fba056400e"/>
    <ds:schemaRef ds:uri="0ab27300-963f-4f8d-9bae-e9aa98dabc2e"/>
  </ds:schemaRefs>
</ds:datastoreItem>
</file>

<file path=customXml/itemProps2.xml><?xml version="1.0" encoding="utf-8"?>
<ds:datastoreItem xmlns:ds="http://schemas.openxmlformats.org/officeDocument/2006/customXml" ds:itemID="{80DBD19B-212D-4656-B48D-CE6EACB7F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27300-963f-4f8d-9bae-e9aa98dabc2e"/>
    <ds:schemaRef ds:uri="bde7d478-d854-492c-97f6-92fba0564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B8F474-FEF1-4D18-A4E1-26F2015AE3AA}">
  <ds:schemaRefs>
    <ds:schemaRef ds:uri="http://schemas.microsoft.com/sharepoint/v3/contenttype/forms"/>
  </ds:schemaRefs>
</ds:datastoreItem>
</file>

<file path=customXml/itemProps4.xml><?xml version="1.0" encoding="utf-8"?>
<ds:datastoreItem xmlns:ds="http://schemas.openxmlformats.org/officeDocument/2006/customXml" ds:itemID="{20142600-BAFD-4B28-B29A-E9CE4A813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1417</Words>
  <Characters>9144</Characters>
  <Application>Microsoft Office Word</Application>
  <DocSecurity>0</DocSecurity>
  <Lines>76</Lines>
  <Paragraphs>21</Paragraphs>
  <ScaleCrop>false</ScaleCrop>
  <Company>European Commission</Company>
  <LinksUpToDate>false</LinksUpToDate>
  <CharactersWithSpaces>10540</CharactersWithSpaces>
  <SharedDoc>false</SharedDoc>
  <HLinks>
    <vt:vector size="66" baseType="variant">
      <vt:variant>
        <vt:i4>1966138</vt:i4>
      </vt:variant>
      <vt:variant>
        <vt:i4>30</vt:i4>
      </vt:variant>
      <vt:variant>
        <vt:i4>0</vt:i4>
      </vt:variant>
      <vt:variant>
        <vt:i4>5</vt:i4>
      </vt:variant>
      <vt:variant>
        <vt:lpwstr>mailto:climate-energy@eea.europa.eu</vt:lpwstr>
      </vt:variant>
      <vt:variant>
        <vt:lpwstr/>
      </vt:variant>
      <vt:variant>
        <vt:i4>1376278</vt:i4>
      </vt:variant>
      <vt:variant>
        <vt:i4>27</vt:i4>
      </vt:variant>
      <vt:variant>
        <vt:i4>0</vt:i4>
      </vt:variant>
      <vt:variant>
        <vt:i4>5</vt:i4>
      </vt:variant>
      <vt:variant>
        <vt:lpwstr>https://reportnet.europa.eu/</vt:lpwstr>
      </vt:variant>
      <vt:variant>
        <vt:lpwstr/>
      </vt:variant>
      <vt:variant>
        <vt:i4>262152</vt:i4>
      </vt:variant>
      <vt:variant>
        <vt:i4>24</vt:i4>
      </vt:variant>
      <vt:variant>
        <vt:i4>0</vt:i4>
      </vt:variant>
      <vt:variant>
        <vt:i4>5</vt:i4>
      </vt:variant>
      <vt:variant>
        <vt:lpwstr>https://www.eionet.europa.eu/etcs/etc-cm/products</vt:lpwstr>
      </vt:variant>
      <vt:variant>
        <vt:lpwstr/>
      </vt:variant>
      <vt:variant>
        <vt:i4>2162751</vt:i4>
      </vt:variant>
      <vt:variant>
        <vt:i4>21</vt:i4>
      </vt:variant>
      <vt:variant>
        <vt:i4>0</vt:i4>
      </vt:variant>
      <vt:variant>
        <vt:i4>5</vt:i4>
      </vt:variant>
      <vt:variant>
        <vt:lpwstr>https://climate-energy.eea.europa.eu/topics/climate-change-mitigation/national-systems/data</vt:lpwstr>
      </vt:variant>
      <vt:variant>
        <vt:lpwstr/>
      </vt:variant>
      <vt:variant>
        <vt:i4>6815848</vt:i4>
      </vt:variant>
      <vt:variant>
        <vt:i4>18</vt:i4>
      </vt:variant>
      <vt:variant>
        <vt:i4>0</vt:i4>
      </vt:variant>
      <vt:variant>
        <vt:i4>5</vt:i4>
      </vt:variant>
      <vt:variant>
        <vt:lpwstr>https://reportnet.europa.eu/public/dataflow/111</vt:lpwstr>
      </vt:variant>
      <vt:variant>
        <vt:lpwstr/>
      </vt:variant>
      <vt:variant>
        <vt:i4>1376278</vt:i4>
      </vt:variant>
      <vt:variant>
        <vt:i4>15</vt:i4>
      </vt:variant>
      <vt:variant>
        <vt:i4>0</vt:i4>
      </vt:variant>
      <vt:variant>
        <vt:i4>5</vt:i4>
      </vt:variant>
      <vt:variant>
        <vt:lpwstr>https://reportnet.europa.eu/</vt:lpwstr>
      </vt:variant>
      <vt:variant>
        <vt:lpwstr/>
      </vt:variant>
      <vt:variant>
        <vt:i4>8192100</vt:i4>
      </vt:variant>
      <vt:variant>
        <vt:i4>12</vt:i4>
      </vt:variant>
      <vt:variant>
        <vt:i4>0</vt:i4>
      </vt:variant>
      <vt:variant>
        <vt:i4>5</vt:i4>
      </vt:variant>
      <vt:variant>
        <vt:lpwstr>https://eur-lex.europa.eu/eli/reg/2018/1999/oj/eng</vt:lpwstr>
      </vt:variant>
      <vt:variant>
        <vt:lpwstr/>
      </vt:variant>
      <vt:variant>
        <vt:i4>6815848</vt:i4>
      </vt:variant>
      <vt:variant>
        <vt:i4>9</vt:i4>
      </vt:variant>
      <vt:variant>
        <vt:i4>0</vt:i4>
      </vt:variant>
      <vt:variant>
        <vt:i4>5</vt:i4>
      </vt:variant>
      <vt:variant>
        <vt:lpwstr>https://reportnet.europa.eu/public/dataflow/111</vt:lpwstr>
      </vt:variant>
      <vt:variant>
        <vt:lpwstr/>
      </vt:variant>
      <vt:variant>
        <vt:i4>6815848</vt:i4>
      </vt:variant>
      <vt:variant>
        <vt:i4>6</vt:i4>
      </vt:variant>
      <vt:variant>
        <vt:i4>0</vt:i4>
      </vt:variant>
      <vt:variant>
        <vt:i4>5</vt:i4>
      </vt:variant>
      <vt:variant>
        <vt:lpwstr>https://reportnet.europa.eu/public/dataflow/111</vt:lpwstr>
      </vt:variant>
      <vt:variant>
        <vt:lpwstr/>
      </vt:variant>
      <vt:variant>
        <vt:i4>7340041</vt:i4>
      </vt:variant>
      <vt:variant>
        <vt:i4>3</vt:i4>
      </vt:variant>
      <vt:variant>
        <vt:i4>0</vt:i4>
      </vt:variant>
      <vt:variant>
        <vt:i4>5</vt:i4>
      </vt:variant>
      <vt:variant>
        <vt:lpwstr>https://eur-lex.europa.eu/legal-content/EN/TXT/?uri=uriserv:OJ.L_.2020.278.01.0001.01.ENG&amp;toc=OJ:L:2020:278:TOC</vt:lpwstr>
      </vt:variant>
      <vt:variant>
        <vt:lpwstr/>
      </vt:variant>
      <vt:variant>
        <vt:i4>8323109</vt:i4>
      </vt:variant>
      <vt:variant>
        <vt:i4>0</vt:i4>
      </vt:variant>
      <vt:variant>
        <vt:i4>0</vt:i4>
      </vt:variant>
      <vt:variant>
        <vt:i4>5</vt:i4>
      </vt:variant>
      <vt:variant>
        <vt:lpwstr>https://eur-lex.europa.eu/eli/reg/2018/1999/oj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BECHEV Ilcho (ESTAT)</dc:creator>
  <cp:keywords/>
  <dc:description/>
  <cp:lastModifiedBy>Liza Leimane</cp:lastModifiedBy>
  <cp:revision>248</cp:revision>
  <cp:lastPrinted>2024-10-24T22:35:00Z</cp:lastPrinted>
  <dcterms:created xsi:type="dcterms:W3CDTF">2024-11-18T18:25:00Z</dcterms:created>
  <dcterms:modified xsi:type="dcterms:W3CDTF">2025-11-03T15:28:00Z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0x01010083875B7BFAFDF64C9394BFB5DCA3161C</vt:lpwstr>
  </property>
  <property fmtid="{D5CDD505-2E9C-101B-9397-08002B2CF9AE}" pid="3" name="GrammarlyDocumentId">
    <vt:lpwstr>b07aa2c9d51dd17c5b72475601403ca39d006645aa1cd3e62f11ac2c0dc7291c</vt:lpwstr>
  </property>
  <property fmtid="{D5CDD505-2E9C-101B-9397-08002B2CF9AE}" pid="4" name="MSIP_Label_6bd9ddd1-4d20-43f6-abfa-fc3c07406f94_Enabled">
    <vt:lpwstr>true</vt:lpwstr>
  </property>
  <property fmtid="{D5CDD505-2E9C-101B-9397-08002B2CF9AE}" pid="5" name="MSIP_Label_6bd9ddd1-4d20-43f6-abfa-fc3c07406f94_SetDate">
    <vt:lpwstr>2024-10-04T12:27:00Z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aef6dee1-9c69-493f-9c6e-90f5dd1868a4</vt:lpwstr>
  </property>
  <property fmtid="{D5CDD505-2E9C-101B-9397-08002B2CF9AE}" pid="10" name="MSIP_Label_6bd9ddd1-4d20-43f6-abfa-fc3c07406f94_ContentBits">
    <vt:lpwstr>0</vt:lpwstr>
  </property>
  <property fmtid="{D5CDD505-2E9C-101B-9397-08002B2CF9AE}" pid="11" name="Order">
    <vt:r8>120800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ies>
</file>